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center"/>
        <w:textAlignment w:val="auto"/>
        <w:rPr>
          <w:rFonts w:hint="eastAsia" w:ascii="黑体" w:hAnsi="黑体" w:eastAsia="黑体" w:cs="黑体"/>
          <w:sz w:val="44"/>
          <w:szCs w:val="44"/>
        </w:rPr>
      </w:pPr>
    </w:p>
    <w:p>
      <w:pPr>
        <w:widowControl w:val="0"/>
        <w:wordWrap/>
        <w:adjustRightInd/>
        <w:snapToGrid/>
        <w:spacing w:line="600" w:lineRule="exact"/>
        <w:jc w:val="center"/>
        <w:textAlignment w:val="auto"/>
        <w:rPr>
          <w:rFonts w:hint="eastAsia" w:ascii="黑体" w:hAnsi="黑体" w:eastAsia="黑体" w:cs="黑体"/>
          <w:sz w:val="44"/>
          <w:szCs w:val="44"/>
        </w:rPr>
      </w:pPr>
    </w:p>
    <w:p>
      <w:pPr>
        <w:widowControl w:val="0"/>
        <w:wordWrap/>
        <w:adjustRightInd/>
        <w:snapToGrid/>
        <w:spacing w:line="600" w:lineRule="exact"/>
        <w:jc w:val="center"/>
        <w:textAlignment w:val="auto"/>
        <w:rPr>
          <w:rFonts w:hint="eastAsia" w:ascii="黑体" w:hAnsi="黑体" w:eastAsia="黑体" w:cs="黑体"/>
          <w:sz w:val="44"/>
          <w:szCs w:val="44"/>
        </w:rPr>
      </w:pP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w:t>
      </w:r>
      <w:r>
        <w:rPr>
          <w:rFonts w:hint="eastAsia" w:ascii="方正小标宋简体" w:hAnsi="方正小标宋简体" w:eastAsia="方正小标宋简体" w:cs="方正小标宋简体"/>
          <w:sz w:val="44"/>
          <w:szCs w:val="44"/>
          <w:lang w:eastAsia="zh-CN"/>
        </w:rPr>
        <w:t>新型绿色建材</w:t>
      </w:r>
      <w:r>
        <w:rPr>
          <w:rFonts w:hint="eastAsia" w:ascii="方正小标宋简体" w:hAnsi="方正小标宋简体" w:eastAsia="方正小标宋简体" w:cs="方正小标宋简体"/>
          <w:sz w:val="44"/>
          <w:szCs w:val="44"/>
        </w:rPr>
        <w:t>产业高质量发展规划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2021-2025年</w:t>
      </w:r>
      <w:r>
        <w:rPr>
          <w:rFonts w:hint="eastAsia" w:ascii="方正小标宋简体" w:hAnsi="方正小标宋简体" w:eastAsia="方正小标宋简体" w:cs="方正小标宋简体"/>
          <w:sz w:val="44"/>
          <w:szCs w:val="44"/>
          <w:lang w:eastAsia="zh-CN"/>
        </w:rPr>
        <w:t>）</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rPr>
      </w:pPr>
      <w:r>
        <w:rPr>
          <w:rFonts w:hint="eastAsia"/>
        </w:rPr>
        <w:t>　　　　</w:t>
      </w:r>
    </w:p>
    <w:p>
      <w:pPr>
        <w:widowControl w:val="0"/>
        <w:wordWrap/>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唐山市工业和信息化局</w:t>
      </w:r>
    </w:p>
    <w:p>
      <w:pPr>
        <w:widowControl w:val="0"/>
        <w:wordWrap/>
        <w:adjustRightInd/>
        <w:snapToGrid/>
        <w:spacing w:line="600" w:lineRule="exact"/>
        <w:jc w:val="center"/>
        <w:textAlignment w:val="auto"/>
        <w:rPr>
          <w:rFonts w:hint="eastAsia"/>
          <w:b/>
          <w:bCs/>
          <w:sz w:val="36"/>
          <w:szCs w:val="36"/>
        </w:rPr>
      </w:pPr>
      <w:r>
        <w:rPr>
          <w:rFonts w:hint="eastAsia" w:ascii="宋体" w:hAnsi="宋体" w:eastAsia="宋体" w:cs="宋体"/>
          <w:b/>
          <w:bCs/>
          <w:sz w:val="36"/>
          <w:szCs w:val="36"/>
        </w:rPr>
        <w:t>2020年</w:t>
      </w:r>
      <w:r>
        <w:rPr>
          <w:rFonts w:hint="eastAsia" w:eastAsia="宋体" w:cs="宋体"/>
          <w:b/>
          <w:bCs/>
          <w:sz w:val="36"/>
          <w:szCs w:val="36"/>
          <w:lang w:val="en-US" w:eastAsia="zh-CN"/>
        </w:rPr>
        <w:t>10</w:t>
      </w:r>
      <w:r>
        <w:rPr>
          <w:rFonts w:hint="eastAsia" w:ascii="宋体" w:hAnsi="宋体" w:eastAsia="宋体" w:cs="宋体"/>
          <w:b/>
          <w:bCs/>
          <w:sz w:val="36"/>
          <w:szCs w:val="36"/>
        </w:rPr>
        <w:t>月</w:t>
      </w:r>
    </w:p>
    <w:p>
      <w:pPr>
        <w:pStyle w:val="18"/>
        <w:jc w:val="center"/>
        <w:sectPr>
          <w:pgSz w:w="11906" w:h="16838"/>
          <w:pgMar w:top="1440" w:right="1077" w:bottom="1440" w:left="1077" w:header="851" w:footer="992" w:gutter="0"/>
          <w:pgNumType w:fmt="numberInDash"/>
          <w:cols w:space="720" w:num="1"/>
          <w:rtlGutter w:val="0"/>
          <w:docGrid w:type="lines" w:linePitch="312" w:charSpace="0"/>
        </w:sectPr>
      </w:pPr>
    </w:p>
    <w:p>
      <w:pPr>
        <w:pStyle w:val="18"/>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pStyle w:val="11"/>
        <w:widowControl w:val="0"/>
        <w:tabs>
          <w:tab w:val="right" w:leader="dot" w:pos="8845"/>
        </w:tabs>
        <w:wordWrap/>
        <w:adjustRightInd/>
        <w:snapToGrid/>
        <w:spacing w:before="0" w:after="0" w:line="400" w:lineRule="exact"/>
        <w:ind w:left="0" w:leftChars="0" w:right="0" w:firstLine="880" w:firstLineChars="200"/>
        <w:jc w:val="both"/>
        <w:textAlignment w:val="auto"/>
        <w:outlineLvl w:val="9"/>
        <w:rPr>
          <w:rFonts w:hint="eastAsia" w:ascii="方正小标宋简体" w:hAnsi="方正小标宋简体" w:eastAsia="方正小标宋简体" w:cs="方正小标宋简体"/>
          <w:kern w:val="2"/>
          <w:sz w:val="32"/>
          <w:szCs w:val="44"/>
          <w:lang w:val="en-US" w:eastAsia="zh-CN" w:bidi="ar-SA"/>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fldChar w:fldCharType="begin"/>
      </w:r>
      <w:r>
        <w:rPr>
          <w:rFonts w:hint="eastAsia" w:ascii="方正小标宋简体" w:hAnsi="方正小标宋简体" w:eastAsia="方正小标宋简体" w:cs="方正小标宋简体"/>
          <w:sz w:val="44"/>
          <w:szCs w:val="44"/>
          <w:lang w:eastAsia="zh-CN"/>
        </w:rPr>
        <w:instrText xml:space="preserve">TOC \o "1-2" \h  \u </w:instrText>
      </w:r>
      <w:r>
        <w:rPr>
          <w:rFonts w:hint="eastAsia" w:ascii="方正小标宋简体" w:hAnsi="方正小标宋简体" w:eastAsia="方正小标宋简体" w:cs="方正小标宋简体"/>
          <w:sz w:val="44"/>
          <w:szCs w:val="44"/>
          <w:lang w:eastAsia="zh-CN"/>
        </w:rPr>
        <w:fldChar w:fldCharType="separate"/>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HYPERLINK \l _Toc151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前  言</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黑体" w:hAnsi="黑体" w:eastAsia="黑体" w:cs="黑体"/>
          <w:kern w:val="2"/>
          <w:sz w:val="30"/>
          <w:szCs w:val="30"/>
          <w:lang w:val="en-US" w:eastAsia="zh-CN" w:bidi="ar-SA"/>
        </w:rPr>
        <w:fldChar w:fldCharType="end"/>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HYPERLINK \l _Toc22942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一、发展基础</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黑体" w:hAnsi="黑体" w:eastAsia="黑体" w:cs="黑体"/>
          <w:kern w:val="2"/>
          <w:sz w:val="30"/>
          <w:szCs w:val="30"/>
          <w:lang w:val="en-US" w:eastAsia="zh-CN" w:bidi="ar-SA"/>
        </w:rPr>
        <w:fldChar w:fldCharType="end"/>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_Toc26736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（一）发展成效</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_Toc30389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（二）存在问题</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5</w:t>
      </w:r>
      <w:r>
        <w:rPr>
          <w:rFonts w:hint="eastAsia" w:ascii="方正小标宋简体" w:hAnsi="方正小标宋简体" w:eastAsia="方正小标宋简体" w:cs="方正小标宋简体"/>
          <w:kern w:val="2"/>
          <w:sz w:val="30"/>
          <w:szCs w:val="30"/>
          <w:lang w:val="en-US" w:eastAsia="zh-CN" w:bidi="ar-SA"/>
        </w:rPr>
        <w:fldChar w:fldCharType="end"/>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_Toc17001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黑体" w:hAnsi="黑体" w:eastAsia="黑体" w:cs="黑体"/>
          <w:bCs/>
          <w:kern w:val="2"/>
          <w:sz w:val="30"/>
          <w:szCs w:val="30"/>
          <w:lang w:val="en-US" w:eastAsia="zh-CN" w:bidi="ar-SA"/>
        </w:rPr>
        <w:t>二、发展形势分析</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8</w:t>
      </w:r>
      <w:r>
        <w:rPr>
          <w:rFonts w:hint="eastAsia" w:ascii="方正小标宋简体" w:hAnsi="方正小标宋简体" w:eastAsia="方正小标宋简体" w:cs="方正小标宋简体"/>
          <w:kern w:val="2"/>
          <w:sz w:val="30"/>
          <w:szCs w:val="30"/>
          <w:lang w:val="en-US" w:eastAsia="zh-CN" w:bidi="ar-SA"/>
        </w:rPr>
        <w:fldChar w:fldCharType="end"/>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_Toc18359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（一）优势条件</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8</w:t>
      </w:r>
      <w:r>
        <w:rPr>
          <w:rFonts w:hint="eastAsia" w:ascii="方正小标宋简体" w:hAnsi="方正小标宋简体" w:eastAsia="方正小标宋简体" w:cs="方正小标宋简体"/>
          <w:kern w:val="2"/>
          <w:sz w:val="30"/>
          <w:szCs w:val="30"/>
          <w:lang w:val="en-US" w:eastAsia="zh-CN" w:bidi="ar-SA"/>
        </w:rPr>
        <w:fldChar w:fldCharType="end"/>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_Toc23231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（二）制约因素</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9</w:t>
      </w:r>
      <w:r>
        <w:rPr>
          <w:rFonts w:hint="eastAsia" w:ascii="方正小标宋简体" w:hAnsi="方正小标宋简体" w:eastAsia="方正小标宋简体" w:cs="方正小标宋简体"/>
          <w:kern w:val="2"/>
          <w:sz w:val="30"/>
          <w:szCs w:val="30"/>
          <w:lang w:val="en-US" w:eastAsia="zh-CN" w:bidi="ar-SA"/>
        </w:rPr>
        <w:fldChar w:fldCharType="end"/>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_Toc25658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（三）发展机遇</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0</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_Toc15807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（四）面临挑战</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3</w:t>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_Toc22081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黑体" w:hAnsi="黑体" w:eastAsia="黑体" w:cs="黑体"/>
          <w:bCs/>
          <w:kern w:val="2"/>
          <w:sz w:val="30"/>
          <w:szCs w:val="30"/>
          <w:lang w:val="en-US" w:eastAsia="zh-CN" w:bidi="ar-SA"/>
        </w:rPr>
        <w:t>三、总体要求</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5</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_Toc18617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（一）指导思想</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5</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_Toc31691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（二）基本原则</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6</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_Toc18391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（三）主要目标</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7</w:t>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_Toc26072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黑体" w:hAnsi="黑体" w:eastAsia="黑体" w:cs="黑体"/>
          <w:bCs/>
          <w:kern w:val="2"/>
          <w:sz w:val="30"/>
          <w:szCs w:val="30"/>
          <w:lang w:val="en-US" w:eastAsia="zh-CN" w:bidi="ar-SA"/>
        </w:rPr>
        <w:t>四、主要任务</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9</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_Toc12182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（一）加快供给侧结构性改革</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1</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9</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_Toc10377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（二）提高绿色智能发展水平</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1</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_Toc14046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（三）推动产业创新发展</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2</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_Toc27971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（四）推进业态模式升级</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4</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_Toc32534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（五）加强质量品牌建设</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7</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_Toc24327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（六）促进协同开放发展</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2</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8</w:t>
      </w:r>
    </w:p>
    <w:p>
      <w:pPr>
        <w:pStyle w:val="11"/>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_Toc8617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黑体" w:hAnsi="黑体" w:eastAsia="黑体" w:cs="黑体"/>
          <w:bCs/>
          <w:kern w:val="2"/>
          <w:sz w:val="30"/>
          <w:szCs w:val="30"/>
          <w:lang w:val="en-US" w:eastAsia="zh-CN" w:bidi="ar-SA"/>
        </w:rPr>
        <w:t>五、保障措施</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0</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_Toc2645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（一）健全规划组织实施</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0</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_Toc30416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（二）强化政策扶持力度</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1</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黑体" w:hAnsi="黑体" w:eastAsia="黑体"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_Toc21841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（三）创新管理服务方式</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3</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_Toc18341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（四）优化企业营商环境</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5</w:t>
      </w:r>
    </w:p>
    <w:p>
      <w:pPr>
        <w:pStyle w:val="14"/>
        <w:widowControl w:val="0"/>
        <w:tabs>
          <w:tab w:val="right" w:leader="dot" w:pos="8845"/>
        </w:tabs>
        <w:wordWrap/>
        <w:adjustRightInd/>
        <w:snapToGrid/>
        <w:spacing w:before="0" w:after="0" w:line="400" w:lineRule="exact"/>
        <w:ind w:left="0" w:leftChars="0" w:right="0" w:firstLine="600" w:firstLineChars="200"/>
        <w:jc w:val="both"/>
        <w:textAlignment w:val="auto"/>
        <w:outlineLvl w:val="9"/>
        <w:rPr>
          <w:rFonts w:hint="default" w:ascii="宋体" w:hAnsi="宋体" w:eastAsia="仿宋_GB2312" w:cs="黑体"/>
          <w:kern w:val="2"/>
          <w:szCs w:val="24"/>
          <w:lang w:val="en-US" w:eastAsia="zh-CN" w:bidi="ar-SA"/>
        </w:rPr>
      </w:pPr>
      <w:r>
        <w:rPr>
          <w:rFonts w:hint="eastAsia" w:ascii="方正小标宋简体" w:hAnsi="方正小标宋简体" w:eastAsia="方正小标宋简体" w:cs="方正小标宋简体"/>
          <w:kern w:val="2"/>
          <w:sz w:val="30"/>
          <w:szCs w:val="30"/>
          <w:lang w:val="en-US" w:eastAsia="zh-CN" w:bidi="ar-SA"/>
        </w:rPr>
        <w:fldChar w:fldCharType="begin"/>
      </w:r>
      <w:r>
        <w:rPr>
          <w:rFonts w:hint="eastAsia" w:ascii="方正小标宋简体" w:hAnsi="方正小标宋简体" w:eastAsia="方正小标宋简体" w:cs="方正小标宋简体"/>
          <w:kern w:val="2"/>
          <w:sz w:val="30"/>
          <w:szCs w:val="30"/>
          <w:lang w:val="en-US" w:eastAsia="zh-CN" w:bidi="ar-SA"/>
        </w:rPr>
        <w:instrText xml:space="preserve"> HYPERLINK \l _Toc6672 </w:instrText>
      </w:r>
      <w:r>
        <w:rPr>
          <w:rFonts w:hint="eastAsia" w:ascii="方正小标宋简体" w:hAnsi="方正小标宋简体" w:eastAsia="方正小标宋简体" w:cs="方正小标宋简体"/>
          <w:kern w:val="2"/>
          <w:sz w:val="30"/>
          <w:szCs w:val="30"/>
          <w:lang w:val="en-US" w:eastAsia="zh-CN" w:bidi="ar-SA"/>
        </w:rPr>
        <w:fldChar w:fldCharType="separate"/>
      </w:r>
      <w:r>
        <w:rPr>
          <w:rFonts w:hint="eastAsia" w:ascii="方正楷体简体" w:hAnsi="方正楷体简体" w:eastAsia="方正楷体简体" w:cs="方正楷体简体"/>
          <w:bCs w:val="0"/>
          <w:kern w:val="2"/>
          <w:sz w:val="30"/>
          <w:szCs w:val="30"/>
          <w:lang w:val="en-US" w:eastAsia="zh-CN" w:bidi="ar-SA"/>
        </w:rPr>
        <w:t>（五）加快培育人才队伍</w:t>
      </w:r>
      <w:r>
        <w:rPr>
          <w:rFonts w:ascii="宋体" w:hAnsi="宋体" w:eastAsia="仿宋_GB2312" w:cs="黑体"/>
          <w:kern w:val="2"/>
          <w:sz w:val="30"/>
          <w:szCs w:val="30"/>
          <w:lang w:val="en-US" w:eastAsia="zh-CN" w:bidi="ar-SA"/>
        </w:rPr>
        <w:tab/>
      </w:r>
      <w:r>
        <w:rPr>
          <w:rFonts w:hint="eastAsia" w:ascii="黑体" w:hAnsi="黑体" w:eastAsia="黑体" w:cs="黑体"/>
          <w:kern w:val="2"/>
          <w:sz w:val="30"/>
          <w:szCs w:val="30"/>
          <w:lang w:val="en-US" w:eastAsia="zh-CN" w:bidi="ar-SA"/>
        </w:rPr>
        <w:t>3</w:t>
      </w:r>
      <w:r>
        <w:rPr>
          <w:rFonts w:hint="eastAsia" w:ascii="方正小标宋简体" w:hAnsi="方正小标宋简体" w:eastAsia="方正小标宋简体" w:cs="方正小标宋简体"/>
          <w:kern w:val="2"/>
          <w:sz w:val="30"/>
          <w:szCs w:val="30"/>
          <w:lang w:val="en-US" w:eastAsia="zh-CN" w:bidi="ar-SA"/>
        </w:rPr>
        <w:fldChar w:fldCharType="end"/>
      </w:r>
      <w:r>
        <w:rPr>
          <w:rFonts w:hint="eastAsia" w:ascii="黑体" w:hAnsi="黑体" w:eastAsia="黑体" w:cs="黑体"/>
          <w:kern w:val="2"/>
          <w:sz w:val="30"/>
          <w:szCs w:val="30"/>
          <w:lang w:val="en-US" w:eastAsia="zh-CN" w:bidi="ar-SA"/>
        </w:rPr>
        <w:t>6</w:t>
      </w:r>
    </w:p>
    <w:p>
      <w:pPr>
        <w:widowControl w:val="0"/>
        <w:tabs>
          <w:tab w:val="right" w:leader="dot" w:pos="8845"/>
        </w:tabs>
        <w:wordWrap/>
        <w:adjustRightInd/>
        <w:snapToGrid/>
        <w:spacing w:before="0" w:after="0" w:line="400" w:lineRule="exact"/>
        <w:ind w:left="0" w:leftChars="0" w:right="0" w:firstLine="64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2"/>
          <w:szCs w:val="44"/>
          <w:lang w:val="en-US" w:eastAsia="zh-CN" w:bidi="ar-SA"/>
        </w:rPr>
        <w:fldChar w:fldCharType="end"/>
      </w:r>
    </w:p>
    <w:p>
      <w:pPr>
        <w:widowControl w:val="0"/>
        <w:wordWrap/>
        <w:adjustRightInd/>
        <w:snapToGrid/>
        <w:spacing w:before="0" w:after="0" w:line="400" w:lineRule="exact"/>
        <w:ind w:left="0" w:leftChars="0" w:right="0" w:firstLine="640" w:firstLineChars="200"/>
        <w:jc w:val="center"/>
        <w:textAlignment w:val="auto"/>
        <w:outlineLvl w:val="9"/>
        <w:sectPr>
          <w:footerReference r:id="rId3" w:type="default"/>
          <w:pgSz w:w="11906" w:h="16838"/>
          <w:pgMar w:top="2098" w:right="1474" w:bottom="1984" w:left="1587" w:header="851" w:footer="992" w:gutter="0"/>
          <w:pgNumType w:fmt="numberInDash"/>
          <w:cols w:space="720" w:num="1"/>
          <w:rtlGutter w:val="0"/>
          <w:docGrid w:type="lines" w:linePitch="312" w:charSpace="0"/>
        </w:sectPr>
      </w:pPr>
    </w:p>
    <w:p>
      <w:pPr>
        <w:pStyle w:val="2"/>
        <w:jc w:val="center"/>
        <w:rPr>
          <w:rFonts w:hint="eastAsia"/>
          <w:sz w:val="44"/>
          <w:szCs w:val="44"/>
          <w:lang w:val="en-US" w:eastAsia="zh-CN"/>
        </w:rPr>
      </w:pPr>
      <w:bookmarkStart w:id="0" w:name="_Toc151"/>
      <w:r>
        <w:rPr>
          <w:rFonts w:hint="eastAsia"/>
          <w:sz w:val="44"/>
          <w:szCs w:val="44"/>
          <w:lang w:val="en-US" w:eastAsia="zh-CN"/>
        </w:rPr>
        <w:t>前  言</w:t>
      </w:r>
      <w:bookmarkEnd w:id="0"/>
    </w:p>
    <w:p>
      <w:pPr>
        <w:widowControl/>
        <w:wordWrap/>
        <w:adjustRightInd/>
        <w:snapToGrid/>
        <w:spacing w:before="0" w:after="0" w:line="570" w:lineRule="exact"/>
        <w:ind w:left="0" w:leftChars="0" w:right="0" w:firstLine="560" w:firstLineChars="200"/>
        <w:jc w:val="left"/>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唐山市是我国老工业城市之一，被誉为中国近代工业的摇篮。建材行业在唐山拥有悠久历史，是重要的传统支柱产业，创造了我国建材工业发展史上多项第一。改革开放以来，唐山建材工业取得了长足的发展，为稳增长、调结构、惠民生做出了重要贡献。目前已经形成了以水泥及水泥制品、卫生陶瓷为主导，耐火材料、防水材料和平板玻璃制造为支撑的较为完备的建材产业体系，是我国三大卫生陶瓷基地之一，也是京津两市的主要水泥供应地。近年来，唐山市装配式建筑部品行业发展迅速，并于2017年入选首批国家级装配式建筑示范城市。</w:t>
      </w:r>
    </w:p>
    <w:p>
      <w:pPr>
        <w:widowControl/>
        <w:spacing w:line="360" w:lineRule="auto"/>
        <w:jc w:val="left"/>
        <w:rPr>
          <w:rFonts w:hint="eastAsia" w:ascii="仿宋" w:hAnsi="仿宋" w:eastAsia="仿宋" w:cs="宋体"/>
          <w:sz w:val="28"/>
          <w:szCs w:val="32"/>
        </w:rPr>
      </w:pPr>
      <w:r>
        <w:rPr>
          <w:rFonts w:hint="eastAsia"/>
        </w:rPr>
        <w:t>　　</w:t>
      </w:r>
      <w:r>
        <w:rPr>
          <w:rFonts w:hint="eastAsia" w:ascii="仿宋_GB2312" w:hAnsi="宋体" w:eastAsia="仿宋_GB2312" w:cs="宋体"/>
          <w:color w:val="000000"/>
          <w:kern w:val="0"/>
          <w:sz w:val="28"/>
          <w:szCs w:val="28"/>
        </w:rPr>
        <w:t>为全面贯彻党的十九大精神和省委、省政府决策部署，按照市委十届十次全会精神，全方位融入京津冀协同发展和“一带一路”</w:t>
      </w:r>
      <w:r>
        <w:rPr>
          <w:rFonts w:hint="eastAsia" w:ascii="仿宋_GB2312" w:cs="宋体"/>
          <w:color w:val="000000"/>
          <w:kern w:val="0"/>
          <w:sz w:val="28"/>
          <w:szCs w:val="28"/>
          <w:lang w:eastAsia="zh-CN"/>
        </w:rPr>
        <w:t>倡议</w:t>
      </w:r>
      <w:r>
        <w:rPr>
          <w:rFonts w:hint="eastAsia" w:ascii="仿宋_GB2312" w:hAnsi="宋体" w:eastAsia="仿宋_GB2312" w:cs="宋体"/>
          <w:color w:val="000000"/>
          <w:kern w:val="0"/>
          <w:sz w:val="28"/>
          <w:szCs w:val="28"/>
        </w:rPr>
        <w:t>，使</w:t>
      </w:r>
      <w:r>
        <w:rPr>
          <w:rFonts w:hint="eastAsia" w:ascii="仿宋_GB2312" w:cs="宋体"/>
          <w:color w:val="000000"/>
          <w:kern w:val="0"/>
          <w:sz w:val="28"/>
          <w:szCs w:val="28"/>
          <w:lang w:eastAsia="zh-CN"/>
        </w:rPr>
        <w:t>新型绿色建材</w:t>
      </w:r>
      <w:r>
        <w:rPr>
          <w:rFonts w:hint="eastAsia" w:ascii="仿宋_GB2312" w:hAnsi="宋体" w:eastAsia="仿宋_GB2312" w:cs="宋体"/>
          <w:color w:val="000000"/>
          <w:kern w:val="0"/>
          <w:sz w:val="28"/>
          <w:szCs w:val="28"/>
        </w:rPr>
        <w:t>产业在唐山市发展动能接续转换中发挥更大作用，在推动京津冀地区产业分工布局优化中</w:t>
      </w:r>
      <w:r>
        <w:rPr>
          <w:rFonts w:hint="eastAsia" w:ascii="仿宋_GB2312" w:cs="宋体"/>
          <w:color w:val="000000"/>
          <w:kern w:val="0"/>
          <w:sz w:val="28"/>
          <w:szCs w:val="28"/>
          <w:lang w:eastAsia="zh-CN"/>
        </w:rPr>
        <w:t>作</w:t>
      </w:r>
      <w:bookmarkStart w:id="26" w:name="_GoBack"/>
      <w:bookmarkEnd w:id="26"/>
      <w:r>
        <w:rPr>
          <w:rFonts w:hint="eastAsia" w:ascii="仿宋_GB2312" w:hAnsi="宋体" w:eastAsia="仿宋_GB2312" w:cs="宋体"/>
          <w:color w:val="000000"/>
          <w:kern w:val="0"/>
          <w:sz w:val="28"/>
          <w:szCs w:val="28"/>
        </w:rPr>
        <w:t>出更大贡献，特编制《唐山市</w:t>
      </w:r>
      <w:r>
        <w:rPr>
          <w:rFonts w:hint="eastAsia" w:ascii="仿宋_GB2312" w:cs="宋体"/>
          <w:color w:val="000000"/>
          <w:kern w:val="0"/>
          <w:sz w:val="28"/>
          <w:szCs w:val="28"/>
          <w:lang w:eastAsia="zh-CN"/>
        </w:rPr>
        <w:t>新型绿色建材</w:t>
      </w:r>
      <w:r>
        <w:rPr>
          <w:rFonts w:hint="eastAsia" w:ascii="仿宋_GB2312" w:hAnsi="宋体" w:eastAsia="仿宋_GB2312" w:cs="宋体"/>
          <w:color w:val="000000"/>
          <w:kern w:val="0"/>
          <w:sz w:val="28"/>
          <w:szCs w:val="28"/>
        </w:rPr>
        <w:t>产业转型升级发展规划》，规划期到2025年。</w:t>
      </w:r>
    </w:p>
    <w:p>
      <w:pPr>
        <w:widowControl/>
        <w:spacing w:line="360" w:lineRule="auto"/>
        <w:jc w:val="left"/>
        <w:rPr>
          <w:rFonts w:hint="eastAsia" w:ascii="仿宋" w:hAnsi="仿宋" w:eastAsia="仿宋" w:cs="宋体"/>
          <w:sz w:val="28"/>
          <w:szCs w:val="32"/>
        </w:rPr>
      </w:pPr>
    </w:p>
    <w:p>
      <w:pPr>
        <w:pStyle w:val="2"/>
        <w:keepNext/>
        <w:keepLines/>
        <w:widowControl w:val="0"/>
        <w:wordWrap/>
        <w:adjustRightInd/>
        <w:snapToGrid/>
        <w:spacing w:before="0" w:after="0" w:line="570" w:lineRule="exact"/>
        <w:ind w:right="0"/>
        <w:jc w:val="both"/>
        <w:textAlignment w:val="auto"/>
        <w:outlineLvl w:val="0"/>
        <w:rPr>
          <w:rFonts w:hint="eastAsia"/>
          <w:lang w:val="en-US" w:eastAsia="zh-CN"/>
        </w:rPr>
      </w:pPr>
      <w:bookmarkStart w:id="1" w:name="_Toc22942"/>
    </w:p>
    <w:p>
      <w:pPr>
        <w:rPr>
          <w:rFonts w:hint="eastAsia"/>
          <w:lang w:val="en-US" w:eastAsia="zh-CN"/>
        </w:rPr>
      </w:pPr>
    </w:p>
    <w:p>
      <w:pPr>
        <w:pStyle w:val="2"/>
        <w:keepNext/>
        <w:keepLines/>
        <w:widowControl w:val="0"/>
        <w:wordWrap/>
        <w:adjustRightInd/>
        <w:snapToGrid/>
        <w:spacing w:before="0" w:after="0" w:line="570" w:lineRule="exact"/>
        <w:ind w:left="0" w:leftChars="0" w:right="0" w:firstLine="640" w:firstLineChars="200"/>
        <w:jc w:val="both"/>
        <w:textAlignment w:val="auto"/>
        <w:outlineLvl w:val="0"/>
        <w:rPr>
          <w:rFonts w:hint="eastAsia"/>
        </w:rPr>
      </w:pPr>
      <w:r>
        <w:rPr>
          <w:rFonts w:hint="eastAsia"/>
          <w:lang w:val="en-US" w:eastAsia="zh-CN"/>
        </w:rPr>
        <w:t>一、发展基础</w:t>
      </w:r>
      <w:bookmarkEnd w:id="1"/>
    </w:p>
    <w:p>
      <w:pPr>
        <w:pStyle w:val="3"/>
        <w:keepNext/>
        <w:keepLines/>
        <w:widowControl w:val="0"/>
        <w:wordWrap/>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 w:name="_Toc26736"/>
      <w:r>
        <w:rPr>
          <w:rFonts w:hint="eastAsia" w:ascii="方正楷体简体" w:hAnsi="方正楷体简体" w:eastAsia="方正楷体简体" w:cs="方正楷体简体"/>
          <w:b/>
          <w:bCs w:val="0"/>
          <w:lang w:val="en-US" w:eastAsia="zh-CN"/>
        </w:rPr>
        <w:t>（一）发展成效</w:t>
      </w:r>
      <w:bookmarkEnd w:id="2"/>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1.发展规模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2019年，唐山市新型建材及装配式住宅规模以上企业374家。</w:t>
      </w:r>
      <w:r>
        <w:rPr>
          <w:rFonts w:hint="eastAsia" w:ascii="仿宋_GB2312" w:hAnsi="仿宋_GB2312" w:eastAsia="仿宋_GB2312" w:cs="仿宋_GB2312"/>
          <w:color w:val="auto"/>
          <w:sz w:val="32"/>
          <w:szCs w:val="32"/>
        </w:rPr>
        <w:t>完成增加值同比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贡献率</w:t>
      </w:r>
      <w:r>
        <w:rPr>
          <w:rFonts w:hint="eastAsia" w:ascii="仿宋_GB2312" w:hAnsi="仿宋_GB2312" w:eastAsia="仿宋_GB2312" w:cs="仿宋_GB2312"/>
          <w:color w:val="auto"/>
          <w:sz w:val="32"/>
          <w:szCs w:val="32"/>
          <w:lang w:val="en-US" w:eastAsia="zh-CN"/>
        </w:rPr>
        <w:t>2.1%，拉动0.2个百分点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rPr>
        <w:t>实现主营业务收入688.47亿元，同比增长8.1%；实现利润 35.47亿元，同比增长96.1%。</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唐山市是全国首批装配式建筑示范城市，已形成较为完备的装配式建筑预制构件生产体系，产品涵盖混凝土预制构件、钢构件、木构件和配套功能性建筑部品等多个领域。截至2019年底，全市共有装配式建筑预制构件企业</w:t>
      </w:r>
      <w:r>
        <w:rPr>
          <w:rFonts w:hint="eastAsia" w:ascii="仿宋_GB2312" w:hAnsi="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lang w:val="en-US" w:eastAsia="zh-CN"/>
        </w:rPr>
        <w:t>家。其中，钢结构生产企业13家，</w:t>
      </w:r>
      <w:r>
        <w:rPr>
          <w:rFonts w:hint="eastAsia" w:ascii="仿宋_GB2312" w:hAnsi="仿宋_GB2312" w:eastAsia="仿宋_GB2312" w:cs="仿宋_GB2312"/>
          <w:color w:val="000000"/>
          <w:sz w:val="32"/>
          <w:szCs w:val="32"/>
        </w:rPr>
        <w:t>钢构件年产量87.5万吨</w:t>
      </w:r>
      <w:r>
        <w:rPr>
          <w:rFonts w:hint="eastAsia" w:ascii="仿宋_GB2312" w:hAnsi="仿宋_GB2312" w:eastAsia="仿宋_GB2312" w:cs="仿宋_GB2312"/>
          <w:color w:val="000000"/>
          <w:kern w:val="0"/>
          <w:sz w:val="32"/>
          <w:szCs w:val="32"/>
          <w:lang w:val="en-US" w:eastAsia="zh-CN"/>
        </w:rPr>
        <w:t>；预制混凝土构件生产企业9家，</w:t>
      </w:r>
      <w:r>
        <w:rPr>
          <w:rFonts w:hint="eastAsia" w:ascii="仿宋_GB2312" w:hAnsi="仿宋_GB2312" w:eastAsia="仿宋_GB2312" w:cs="仿宋_GB2312"/>
          <w:color w:val="000000"/>
          <w:sz w:val="32"/>
          <w:szCs w:val="32"/>
        </w:rPr>
        <w:t>年产量</w:t>
      </w:r>
      <w:r>
        <w:rPr>
          <w:rFonts w:hint="eastAsia" w:ascii="仿宋_GB2312" w:hAnsi="仿宋_GB2312" w:eastAsia="仿宋_GB2312" w:cs="仿宋_GB2312"/>
          <w:color w:val="000000"/>
          <w:sz w:val="32"/>
          <w:szCs w:val="32"/>
          <w:lang w:val="en-US" w:eastAsia="zh-CN"/>
        </w:rPr>
        <w:t>159</w:t>
      </w:r>
      <w:r>
        <w:rPr>
          <w:rFonts w:hint="eastAsia" w:ascii="仿宋_GB2312" w:hAnsi="仿宋_GB2312" w:eastAsia="仿宋_GB2312" w:cs="仿宋_GB2312"/>
          <w:color w:val="000000"/>
          <w:sz w:val="32"/>
          <w:szCs w:val="32"/>
        </w:rPr>
        <w:t>万立方</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sz w:val="32"/>
          <w:szCs w:val="32"/>
        </w:rPr>
        <w:t>木结构生产厂家1家，年产木结构1万立方</w:t>
      </w:r>
      <w:r>
        <w:rPr>
          <w:rFonts w:hint="eastAsia" w:ascii="仿宋_GB2312" w:hAnsi="仿宋_GB2312" w:eastAsia="仿宋_GB2312" w:cs="仿宋_GB2312"/>
          <w:color w:val="000000"/>
          <w:kern w:val="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2.产业结构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水泥行业是唐山建材工业的主导产业，</w:t>
      </w:r>
      <w:r>
        <w:rPr>
          <w:rFonts w:hint="eastAsia" w:ascii="仿宋_GB2312" w:hAnsi="仿宋_GB2312" w:eastAsia="仿宋_GB2312" w:cs="仿宋_GB2312"/>
          <w:color w:val="auto"/>
          <w:sz w:val="32"/>
          <w:szCs w:val="32"/>
        </w:rPr>
        <w:t>现有水泥企业</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家，分布在10个县（市）区，其中全工艺及水泥熟料生产企业</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家，水泥粉磨企业</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家。全市</w:t>
      </w:r>
      <w:r>
        <w:rPr>
          <w:rFonts w:hint="eastAsia" w:ascii="仿宋_GB2312" w:hAnsi="仿宋_GB2312" w:eastAsia="仿宋_GB2312" w:cs="仿宋_GB2312"/>
          <w:color w:val="auto"/>
          <w:sz w:val="32"/>
          <w:szCs w:val="32"/>
          <w:lang w:eastAsia="zh-CN"/>
        </w:rPr>
        <w:t>共有</w:t>
      </w:r>
      <w:r>
        <w:rPr>
          <w:rFonts w:hint="eastAsia" w:ascii="仿宋_GB2312" w:hAnsi="仿宋_GB2312" w:eastAsia="仿宋_GB2312" w:cs="仿宋_GB2312"/>
          <w:color w:val="auto"/>
          <w:sz w:val="32"/>
          <w:szCs w:val="32"/>
        </w:rPr>
        <w:t>水泥熟料生产线</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条，水泥磨15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水泥企业熟料产能</w:t>
      </w:r>
      <w:r>
        <w:rPr>
          <w:rFonts w:hint="eastAsia" w:ascii="仿宋_GB2312" w:hAnsi="仿宋_GB2312" w:eastAsia="仿宋_GB2312" w:cs="仿宋_GB2312"/>
          <w:color w:val="auto"/>
          <w:sz w:val="32"/>
          <w:szCs w:val="32"/>
          <w:lang w:val="en-US" w:eastAsia="zh-CN"/>
        </w:rPr>
        <w:t>2464.8</w:t>
      </w:r>
      <w:r>
        <w:rPr>
          <w:rFonts w:hint="eastAsia" w:ascii="仿宋_GB2312" w:hAnsi="仿宋_GB2312" w:eastAsia="仿宋_GB2312" w:cs="仿宋_GB2312"/>
          <w:color w:val="auto"/>
          <w:sz w:val="32"/>
          <w:szCs w:val="32"/>
        </w:rPr>
        <w:t>万吨，水泥产能</w:t>
      </w:r>
      <w:r>
        <w:rPr>
          <w:rFonts w:hint="eastAsia" w:ascii="仿宋_GB2312" w:hAnsi="仿宋_GB2312" w:eastAsia="仿宋_GB2312" w:cs="仿宋_GB2312"/>
          <w:color w:val="auto"/>
          <w:sz w:val="32"/>
          <w:szCs w:val="32"/>
          <w:lang w:val="en-US" w:eastAsia="zh-CN"/>
        </w:rPr>
        <w:t>7831.3</w:t>
      </w:r>
      <w:r>
        <w:rPr>
          <w:rFonts w:hint="eastAsia" w:ascii="仿宋_GB2312" w:hAnsi="仿宋_GB2312" w:eastAsia="仿宋_GB2312" w:cs="仿宋_GB2312"/>
          <w:color w:val="auto"/>
          <w:sz w:val="32"/>
          <w:szCs w:val="32"/>
        </w:rPr>
        <w:t>万吨。</w:t>
      </w:r>
      <w:r>
        <w:rPr>
          <w:rFonts w:hint="eastAsia" w:ascii="仿宋_GB2312" w:hAnsi="仿宋_GB2312" w:eastAsia="仿宋_GB2312" w:cs="仿宋_GB2312"/>
          <w:color w:val="000000"/>
          <w:kern w:val="0"/>
          <w:sz w:val="32"/>
          <w:szCs w:val="32"/>
          <w:lang w:val="en-US" w:eastAsia="zh-CN"/>
        </w:rPr>
        <w:t>2019年实现主营业务收入96.77亿元，占全市建材产业主营业务收入的14.06%。此外，卫生陶瓷、水泥制品、耐火材料和防水材料等行业主营业务收入也在全市建材产业主营业务收入中占有较大份额。自2011年以来，唐山市加大了对低端过剩水泥产能的淘汰力度。累计关停水泥窑17条，淘汰熟料产能207.7万吨，关停水泥粉磨站</w:t>
      </w:r>
      <w:r>
        <w:rPr>
          <w:rFonts w:hint="eastAsia" w:ascii="仿宋_GB2312" w:hAnsi="仿宋_GB2312" w:cs="仿宋_GB2312"/>
          <w:color w:val="000000"/>
          <w:kern w:val="0"/>
          <w:sz w:val="32"/>
          <w:szCs w:val="32"/>
          <w:lang w:val="en-US" w:eastAsia="zh-CN"/>
        </w:rPr>
        <w:t>292</w:t>
      </w:r>
      <w:r>
        <w:rPr>
          <w:rFonts w:hint="eastAsia" w:ascii="仿宋_GB2312" w:hAnsi="仿宋_GB2312" w:eastAsia="仿宋_GB2312" w:cs="仿宋_GB2312"/>
          <w:color w:val="000000"/>
          <w:kern w:val="0"/>
          <w:sz w:val="32"/>
          <w:szCs w:val="32"/>
          <w:lang w:val="en-US" w:eastAsia="zh-CN"/>
        </w:rPr>
        <w:t>座，淘汰</w:t>
      </w:r>
      <w:r>
        <w:rPr>
          <w:rFonts w:hint="eastAsia" w:ascii="仿宋_GB2312" w:hAnsi="仿宋_GB2312" w:cs="仿宋_GB2312"/>
          <w:color w:val="000000"/>
          <w:kern w:val="0"/>
          <w:sz w:val="32"/>
          <w:szCs w:val="32"/>
          <w:lang w:val="en-US" w:eastAsia="zh-CN"/>
        </w:rPr>
        <w:t>（化解）</w:t>
      </w:r>
      <w:r>
        <w:rPr>
          <w:rFonts w:hint="eastAsia" w:ascii="仿宋_GB2312" w:hAnsi="仿宋_GB2312" w:eastAsia="仿宋_GB2312" w:cs="仿宋_GB2312"/>
          <w:color w:val="000000"/>
          <w:kern w:val="0"/>
          <w:sz w:val="32"/>
          <w:szCs w:val="32"/>
          <w:lang w:val="en-US" w:eastAsia="zh-CN"/>
        </w:rPr>
        <w:t>水泥产能</w:t>
      </w:r>
      <w:r>
        <w:rPr>
          <w:rFonts w:hint="eastAsia" w:ascii="仿宋_GB2312" w:hAnsi="仿宋_GB2312" w:cs="仿宋_GB2312"/>
          <w:color w:val="000000"/>
          <w:kern w:val="0"/>
          <w:sz w:val="32"/>
          <w:szCs w:val="32"/>
          <w:lang w:val="en-US" w:eastAsia="zh-CN"/>
        </w:rPr>
        <w:t>3823</w:t>
      </w:r>
      <w:r>
        <w:rPr>
          <w:rFonts w:hint="eastAsia" w:ascii="仿宋_GB2312" w:hAnsi="仿宋_GB2312" w:eastAsia="仿宋_GB2312" w:cs="仿宋_GB2312"/>
          <w:color w:val="000000"/>
          <w:kern w:val="0"/>
          <w:sz w:val="32"/>
          <w:szCs w:val="32"/>
          <w:lang w:val="en-US" w:eastAsia="zh-CN"/>
        </w:rPr>
        <w:t>万吨。</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伴随着产业结构调整的推进，唐山市建材产业形成了一批龙头骨干企业。区域内的金隅冀东水泥股份有限公司是我国前三、世界第五大水泥企业和全国最大的综合型建材企业之一，2019年公司水泥熟料产量占唐山市总产量的36.77%。唐山北极熊建材有限公司是全国生产特种建筑功能材料及硫铝酸盐系列水泥骨干企业之一。惠达、梦牌、中陶等一批龙头骨干陶瓷企业先后获得中国驰名商标、中国名牌等称号。唐山市国亮特殊耐火材料有限公司在钢铁、有色冶金、建材和石化等窑炉耐火材料领域拥有较高知名度。此外，在玻璃、防水材料和石墨烯等领域，唐山市也汇聚了蓝欣玻璃、东方雨虹、远大洪雨、建华实业等一大批行业领军企业。在钢铁、水泥、陶瓷等传统产业的支撑下，以二十二冶集团、河北杭萧、冀东发展集成房屋、大树木业为代表的一大批装配式建筑部品企业不断涌现，全市现有省级及以上装配式建筑产业基地6家。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3.产业分布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唐山市建材行业集聚式发展特征明显。丰润、古冶、滦县依托水泥灰岩资源形成了三大水泥熟料生产基地，产能占比达到84.26%。丰南聚集一大批卫生陶瓷、工业陶瓷和耐火材料生产企业，全市近一半的卫生陶瓷产能集中于此。玉田、芦台借助良好的资源和区位优势，积极承接京津装配式建筑产业转移，初步形成了玉田钢结构产业集群和芦台装配式建筑产业集群。</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4.两化融合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水泥、平板玻璃、陶瓷等主要建材行业的技术装备水平已处于国内领先水平。水泥熟料烧成系统、在线镀膜技术、卫生陶瓷高压注浆技术、机器人施釉工作站、钢结构智能化生产线等自动化、信息化技术已在大型企业中广泛应用。河北杭萧、二十二冶集团、东方诚钢构、冀东发展集成房屋等钢结构企业引进钢结构智能化生产线，形成了自动化、信息化有机融合的智能工厂制造体系；二十二冶集团住宅产业化PC构件生产线采用国内最先进的建筑构件生产流水线；迁安大树木业的CLT装配式木结构技术在全国处于领先水平。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建材制造业与信息、商务、物流等服务业的融合方面取得了巨大的进步。冀东水泥工厂物流智能发运系统、供应链管理平台、商务智能BI应用等的信息化水平位居全国前列；唐山东方雨虹产品“全供应链管理协同系统”已成为引领行业智能制造发展方向的示范性管理系统；唐山成联电子商务有限公司先后创办了中国耐材之窗网、中国陶瓷官网、中国物流官网三大国家级官网电商平台，服务用户遍及国内和100多个国家和地区。特别是中国耐材之窗网已成为全球最大的耐火材料产业B2B电商平台，也是世界耐火材料协会官方授权的信息发布平台，市场占有率稳居行业第一。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5.绿色发展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唐山市已在建材全行业淘汰燃煤锅炉，全面推进粉尘处置、脱硫脱硝等环保设施的安装和运行，粉尘、二氧化硫和氮氧化物的排放浓度明显下降，水泥、玻璃、陶瓷在唐山市建材行业中体量最大，根据现行排放标准，唐山市建材行业重点监控企业大气污染物排放指标全部达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此外，唐山市水泥熟料、水泥和平板玻璃综合能耗分别为 109.21千克标准煤/吨、86千克标准煤/吨和13.11千克标准煤/重量箱，均优于国家标准先进值。年综合利用煤矸石、粉煤灰、铁采选尾矿渣和转炉渣等各类工业固废弃物超过1100万吨，资源综合利用成效显著。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6.创新能力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kern w:val="0"/>
          <w:sz w:val="32"/>
          <w:szCs w:val="32"/>
          <w:lang w:val="en-US" w:eastAsia="zh-CN"/>
        </w:rPr>
        <w:t>唐山市建材行业充分发挥企业在技术创新中主体作用，积极探索产学研用一体化，已初步形成了以企业为主体、市场为导向、产学研用相结合的产业创新体系。在装配式建筑部品领域，唐山市先后承担了6项国家级装配式建筑结构体系研究课题，组织企业主持或参与编制国家、省级相关标准8部，组建了二十二冶集团、冀东发展集成房屋公司等一批国家及省级研发中心，在装配式建筑研发方面取得了明显成效。</w:t>
      </w:r>
      <w:r>
        <w:rPr>
          <w:rFonts w:hint="eastAsia" w:ascii="仿宋_GB2312" w:hAnsi="仿宋_GB2312" w:eastAsia="仿宋_GB2312" w:cs="仿宋_GB2312"/>
          <w:color w:val="FF0000"/>
          <w:kern w:val="0"/>
          <w:sz w:val="32"/>
          <w:szCs w:val="32"/>
          <w:lang w:val="en-US" w:eastAsia="zh-CN"/>
        </w:rPr>
        <w:t xml:space="preserve"> </w:t>
      </w:r>
    </w:p>
    <w:p>
      <w:pPr>
        <w:pStyle w:val="3"/>
        <w:keepNext/>
        <w:keepLines/>
        <w:widowControl w:val="0"/>
        <w:wordWrap/>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3" w:name="_Toc30389"/>
      <w:r>
        <w:rPr>
          <w:rFonts w:hint="eastAsia" w:ascii="方正楷体简体" w:hAnsi="方正楷体简体" w:eastAsia="方正楷体简体" w:cs="方正楷体简体"/>
          <w:b/>
          <w:bCs w:val="0"/>
          <w:lang w:val="en-US" w:eastAsia="zh-CN"/>
        </w:rPr>
        <w:t>（二）存在问题</w:t>
      </w:r>
      <w:bookmarkEnd w:id="3"/>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1.传统产品比重偏大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建材产业产品结构单一，传统建材产品比重大。产品多为水泥、平板玻璃等基础材料或初加工制品，出口卫生陶瓷以“贴牌”为主，附加值不高。产能过剩问题突出，水泥粉磨产能发挥率仅为36.21%。大多数产品处于产品生命周期的成熟期和衰退期。玻璃深加工、防水材料、装配式建筑部品等新兴建材产业多数处于初级阶段。为建材行业配套的展贸、金融等生产性服务业发展也相对滞后。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2.科技创新投入不足</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建材企业发展仍以规模扩张和产品模仿跟进为主，研发设计创新投入低，新产品及产品应用配套技术研究薄弱，在建筑等终端应用领域有效转化和推广的新技术、新产品较少。大多数建材企业缺乏现代管理意识和品牌培育意识，企业品牌认知度低，商业模式陈旧，产品市场竞争力不强，导致企业内生动力不足。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3.产业发展人才短缺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受产能过剩、限产停产、恶性竞争等方面的影响，企业效益下滑明显，对高级技术人才和管理人才吸引力下降。特别是具有国际视野和战略开拓能力的复合型人才、科技创新型人才更是严重缺失，高端人才结构和数量远远不能满足装配式建筑部品和新兴建材产业发展的需要。与之相对应的，在产业工人方面，由于</w:t>
      </w:r>
      <w:r>
        <w:rPr>
          <w:rFonts w:hint="eastAsia" w:ascii="仿宋_GB2312" w:hAnsi="仿宋_GB2312" w:cs="仿宋_GB2312"/>
          <w:color w:val="000000"/>
          <w:kern w:val="0"/>
          <w:sz w:val="32"/>
          <w:szCs w:val="32"/>
          <w:lang w:val="en-US" w:eastAsia="zh-CN"/>
        </w:rPr>
        <w:t>部分</w:t>
      </w:r>
      <w:r>
        <w:rPr>
          <w:rFonts w:hint="eastAsia" w:ascii="仿宋_GB2312" w:hAnsi="仿宋_GB2312" w:eastAsia="仿宋_GB2312" w:cs="仿宋_GB2312"/>
          <w:color w:val="000000"/>
          <w:kern w:val="0"/>
          <w:sz w:val="32"/>
          <w:szCs w:val="32"/>
          <w:lang w:val="en-US" w:eastAsia="zh-CN"/>
        </w:rPr>
        <w:t xml:space="preserve">建材传统行业的劳动环境较差，社会认可度不断下降，缺乏系统的培训机制，造成一线产业工人招工难，工人素质普遍不高，无法满足行业智能化、信息化转型和新的建造方式对技术工人提出的新要求。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4.产业融合发展滞后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建材企业与上游关联领域企业协调合作与利益共享意识不强，行业间缺乏协调合作，铁尾矿、钢渣、建筑垃圾、危险废物</w:t>
      </w:r>
      <w:r>
        <w:rPr>
          <w:rFonts w:hint="eastAsia" w:ascii="仿宋_GB2312" w:hAnsi="仿宋_GB2312" w:cs="仿宋_GB2312"/>
          <w:color w:val="000000"/>
          <w:kern w:val="0"/>
          <w:sz w:val="32"/>
          <w:szCs w:val="32"/>
          <w:lang w:val="en-US" w:eastAsia="zh-CN"/>
        </w:rPr>
        <w:t>、生活垃圾</w:t>
      </w:r>
      <w:r>
        <w:rPr>
          <w:rFonts w:hint="eastAsia" w:ascii="仿宋_GB2312" w:hAnsi="仿宋_GB2312" w:eastAsia="仿宋_GB2312" w:cs="仿宋_GB2312"/>
          <w:color w:val="000000"/>
          <w:kern w:val="0"/>
          <w:sz w:val="32"/>
          <w:szCs w:val="32"/>
          <w:lang w:val="en-US" w:eastAsia="zh-CN"/>
        </w:rPr>
        <w:t xml:space="preserve">和农作物秸秆等利用难度相对较高但区域内产生量又较大的工农业废物协同处置较少。未摆脱行业条块分割的传统思维，缺乏与下游重要终端用户的深度融合。特别是在装配式建筑领域，缺乏与房地产开发商和建筑施工单位的深度合作，产业链分工的参与度不高、上下游延伸不足，缺乏适应装配式建筑要求的创新及应用设计能力，以及对产业链耦合链接的科学规划。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5.生态环境亟待改善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作为“2+26”通道城市中的重点城市，随着新环保法、新安全生产法、环境保护税法、大气污染防治工作方案等法律、规范的相继颁布实施，区域能源约束和环境容量限制日益凸显，严守生态安全底线已成为唐山发展的重中之重。虽然很多建材企业在节能环保设备和污染物治理方面都已经投入了大量资金，企业清洁生产水平业取得了明显提高，但如矿山开采机械化开采不完善，矿床和植被破坏明显；矿石开采、运输等过程扬尘、尾气影响周边环境等生态环境问题仍旧突出。部分建材企业在重度污染天气应急预案落实、无组织排放治理、环保设备使用维护等方面存在较大问题，与广大人民群众热切期盼加快提高生态环境质量的要求依然存在较大差距，治理“散乱污”建材企业任务依然繁重。 </w:t>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0"/>
        <w:rPr>
          <w:rFonts w:hint="eastAsia" w:ascii="黑体" w:hAnsi="黑体" w:eastAsia="黑体" w:cs="黑体"/>
          <w:b w:val="0"/>
          <w:bCs/>
          <w:lang w:val="en-US" w:eastAsia="zh-CN"/>
        </w:rPr>
      </w:pPr>
      <w:bookmarkStart w:id="4" w:name="_Toc17001"/>
      <w:r>
        <w:rPr>
          <w:rFonts w:hint="eastAsia" w:ascii="黑体" w:hAnsi="黑体" w:eastAsia="黑体" w:cs="黑体"/>
          <w:b w:val="0"/>
          <w:bCs/>
          <w:lang w:val="en-US" w:eastAsia="zh-CN"/>
        </w:rPr>
        <w:t>二、发展形势分析</w:t>
      </w:r>
      <w:bookmarkEnd w:id="4"/>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5" w:name="_Toc18359"/>
      <w:r>
        <w:rPr>
          <w:rFonts w:hint="eastAsia" w:ascii="方正楷体简体" w:hAnsi="方正楷体简体" w:eastAsia="方正楷体简体" w:cs="方正楷体简体"/>
          <w:b/>
          <w:bCs w:val="0"/>
          <w:lang w:val="en-US" w:eastAsia="zh-CN"/>
        </w:rPr>
        <w:t>（一）优势条件</w:t>
      </w:r>
      <w:bookmarkEnd w:id="5"/>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1.区位交通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唐山市地处渤海湾中心地带，区位、交通、市场优势明显。海运方面</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唐山港初步形成“一港三区”的发展格局，已建成岸线32.8公里，各类生产性泊位126个，通航港口178个，年设计通过能力突破5亿吨。2019完成货物吞吐量6.57亿吨，位居全国港口第三位。陆运方面</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 xml:space="preserve">唐山市铁路网密度是全国较高的地区之一，高速公路密度达到发达国家水平。便利的交通运输条件为唐山市装配式建筑部品、卫生陶瓷、玻璃深加工、建筑石材等建材产业发展提供了优越的条件。此外，唐山市与北京、天津两市直线距离不足150公里，为唐山市建材产业发展提供了广阔的市场空间。同时，京津冀协同发展将有力促进优质生产要素向唐山聚集流动。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2.产业基础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被誉为中国近代工业的摇篮，建材行业在唐山拥有悠久历史，是重要的传统支柱产业，我国第一件卫生陶瓷、第一桶水泥均出自唐山。目前已经形成了以水泥及水泥制品、卫生陶瓷为主导，耐火材料、防水材料和平板玻璃制造为支撑的较为完备的建材产业体系，是我国三大卫生陶瓷基地之一，也是京津两市的主要水泥供应地。拥有金隅冀东、北极熊、惠达陶瓷、梦牌陶瓷、国亮特耐、二十二冶集团等技术力量强、产品质量高、品牌影响大、经济效益好的龙头企业。唐山市建材产业雄厚的发展基础为行业做大做强提供了坚实的支撑保障。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3.基础资源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唐山市作为传统的资源型城市，区域内建材非金属矿产资源丰富</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保有水泥灰岩</w:t>
      </w:r>
      <w:r>
        <w:rPr>
          <w:rFonts w:hint="eastAsia" w:ascii="仿宋_GB2312" w:hAnsi="仿宋_GB2312" w:cs="仿宋_GB2312"/>
          <w:color w:val="auto"/>
          <w:kern w:val="0"/>
          <w:sz w:val="32"/>
          <w:szCs w:val="32"/>
          <w:lang w:val="en-US" w:eastAsia="zh-CN"/>
        </w:rPr>
        <w:t>、熔</w:t>
      </w:r>
      <w:r>
        <w:rPr>
          <w:rFonts w:hint="eastAsia" w:ascii="仿宋_GB2312" w:hAnsi="仿宋_GB2312" w:eastAsia="仿宋_GB2312" w:cs="仿宋_GB2312"/>
          <w:color w:val="auto"/>
          <w:kern w:val="0"/>
          <w:sz w:val="32"/>
          <w:szCs w:val="32"/>
          <w:lang w:val="en-US" w:eastAsia="zh-CN"/>
        </w:rPr>
        <w:t>剂灰岩</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制碱灰岩</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冶金白云岩</w:t>
      </w:r>
      <w:r>
        <w:rPr>
          <w:rFonts w:hint="eastAsia" w:ascii="仿宋_GB2312" w:hAnsi="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lang w:val="en-US" w:eastAsia="zh-CN"/>
        </w:rPr>
        <w:t>资源储量</w:t>
      </w:r>
      <w:r>
        <w:rPr>
          <w:rFonts w:hint="eastAsia" w:ascii="仿宋_GB2312" w:hAnsi="仿宋_GB2312" w:cs="仿宋_GB2312"/>
          <w:color w:val="auto"/>
          <w:kern w:val="0"/>
          <w:sz w:val="32"/>
          <w:szCs w:val="32"/>
          <w:lang w:val="en-US" w:eastAsia="zh-CN"/>
        </w:rPr>
        <w:t>充足</w:t>
      </w:r>
      <w:r>
        <w:rPr>
          <w:rFonts w:hint="eastAsia" w:ascii="仿宋_GB2312" w:hAnsi="仿宋_GB2312" w:eastAsia="仿宋_GB2312" w:cs="仿宋_GB2312"/>
          <w:color w:val="auto"/>
          <w:kern w:val="0"/>
          <w:sz w:val="32"/>
          <w:szCs w:val="32"/>
          <w:lang w:val="en-US" w:eastAsia="zh-CN"/>
        </w:rPr>
        <w:t>。其中水泥灰岩主要集中在丰润王官营集中开采区、滦</w:t>
      </w:r>
      <w:r>
        <w:rPr>
          <w:rFonts w:hint="eastAsia" w:ascii="仿宋_GB2312" w:hAnsi="仿宋_GB2312" w:cs="仿宋_GB2312"/>
          <w:color w:val="auto"/>
          <w:kern w:val="0"/>
          <w:sz w:val="32"/>
          <w:szCs w:val="32"/>
          <w:lang w:val="en-US" w:eastAsia="zh-CN"/>
        </w:rPr>
        <w:t>州</w:t>
      </w:r>
      <w:r>
        <w:rPr>
          <w:rFonts w:hint="eastAsia" w:ascii="仿宋_GB2312" w:hAnsi="仿宋_GB2312" w:eastAsia="仿宋_GB2312" w:cs="仿宋_GB2312"/>
          <w:color w:val="auto"/>
          <w:kern w:val="0"/>
          <w:sz w:val="32"/>
          <w:szCs w:val="32"/>
          <w:lang w:val="en-US" w:eastAsia="zh-CN"/>
        </w:rPr>
        <w:t>杨柳庄集中开采区和古冶域山集中开采区，现设有采矿权</w:t>
      </w:r>
      <w:r>
        <w:rPr>
          <w:rFonts w:hint="eastAsia" w:ascii="仿宋_GB2312" w:hAnsi="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个，有效储量</w:t>
      </w:r>
      <w:r>
        <w:rPr>
          <w:rFonts w:hint="eastAsia" w:ascii="仿宋_GB2312" w:hAnsi="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亿吨，设计生产规模</w:t>
      </w:r>
      <w:r>
        <w:rPr>
          <w:rFonts w:hint="eastAsia" w:ascii="仿宋_GB2312" w:hAnsi="仿宋_GB2312" w:cs="仿宋_GB2312"/>
          <w:color w:val="auto"/>
          <w:kern w:val="0"/>
          <w:sz w:val="32"/>
          <w:szCs w:val="32"/>
          <w:lang w:val="en-US" w:eastAsia="zh-CN"/>
        </w:rPr>
        <w:t>1390</w:t>
      </w:r>
      <w:r>
        <w:rPr>
          <w:rFonts w:hint="eastAsia" w:ascii="仿宋_GB2312" w:hAnsi="仿宋_GB2312" w:eastAsia="仿宋_GB2312" w:cs="仿宋_GB2312"/>
          <w:color w:val="auto"/>
          <w:kern w:val="0"/>
          <w:sz w:val="32"/>
          <w:szCs w:val="32"/>
          <w:lang w:val="en-US" w:eastAsia="zh-CN"/>
        </w:rPr>
        <w:t>万吨/年。上述各类资源保障能力均在30年以上，为水泥、石灰等产业发展提供了基础原材料保障。此外，唐山市</w:t>
      </w:r>
      <w:r>
        <w:rPr>
          <w:rFonts w:hint="eastAsia" w:ascii="仿宋_GB2312" w:hAnsi="仿宋_GB2312" w:cs="仿宋_GB2312"/>
          <w:color w:val="auto"/>
          <w:kern w:val="0"/>
          <w:sz w:val="32"/>
          <w:szCs w:val="32"/>
          <w:lang w:val="en-US" w:eastAsia="zh-CN"/>
        </w:rPr>
        <w:t>每年年</w:t>
      </w:r>
      <w:r>
        <w:rPr>
          <w:rFonts w:hint="eastAsia" w:ascii="仿宋_GB2312" w:hAnsi="仿宋_GB2312" w:eastAsia="仿宋_GB2312" w:cs="仿宋_GB2312"/>
          <w:color w:val="auto"/>
          <w:kern w:val="0"/>
          <w:sz w:val="32"/>
          <w:szCs w:val="32"/>
          <w:lang w:val="en-US" w:eastAsia="zh-CN"/>
        </w:rPr>
        <w:t>产生工业固体废物</w:t>
      </w:r>
      <w:r>
        <w:rPr>
          <w:rFonts w:hint="eastAsia" w:ascii="仿宋_GB2312" w:hAnsi="仿宋_GB2312" w:cs="仿宋_GB2312"/>
          <w:color w:val="auto"/>
          <w:kern w:val="0"/>
          <w:sz w:val="32"/>
          <w:szCs w:val="32"/>
          <w:u w:val="none"/>
          <w:lang w:val="en-US" w:eastAsia="zh-CN"/>
        </w:rPr>
        <w:t>1亿吨以上</w:t>
      </w:r>
      <w:r>
        <w:rPr>
          <w:rFonts w:hint="eastAsia" w:ascii="仿宋_GB2312" w:hAnsi="仿宋_GB2312" w:eastAsia="仿宋_GB2312" w:cs="仿宋_GB2312"/>
          <w:color w:val="auto"/>
          <w:kern w:val="0"/>
          <w:sz w:val="32"/>
          <w:szCs w:val="32"/>
          <w:lang w:val="en-US" w:eastAsia="zh-CN"/>
        </w:rPr>
        <w:t>，历年堆存的铁尾矿达</w:t>
      </w:r>
      <w:r>
        <w:rPr>
          <w:rFonts w:hint="eastAsia" w:ascii="仿宋_GB2312" w:hAnsi="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lang w:val="en-US" w:eastAsia="zh-CN"/>
        </w:rPr>
        <w:t>亿吨左右</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除工业固体废弃物外，</w:t>
      </w:r>
      <w:r>
        <w:rPr>
          <w:rFonts w:hint="eastAsia" w:ascii="仿宋_GB2312" w:hAnsi="仿宋_GB2312" w:cs="仿宋_GB2312"/>
          <w:color w:val="auto"/>
          <w:kern w:val="0"/>
          <w:sz w:val="32"/>
          <w:szCs w:val="32"/>
          <w:lang w:val="en-US" w:eastAsia="zh-CN"/>
        </w:rPr>
        <w:t>每</w:t>
      </w:r>
      <w:r>
        <w:rPr>
          <w:rFonts w:hint="eastAsia" w:ascii="仿宋_GB2312" w:hAnsi="仿宋_GB2312" w:eastAsia="仿宋_GB2312" w:cs="仿宋_GB2312"/>
          <w:color w:val="auto"/>
          <w:kern w:val="0"/>
          <w:sz w:val="32"/>
          <w:szCs w:val="32"/>
          <w:lang w:val="en-US" w:eastAsia="zh-CN"/>
        </w:rPr>
        <w:t>年农作物秸秆产生量约</w:t>
      </w:r>
      <w:r>
        <w:rPr>
          <w:rFonts w:hint="eastAsia" w:ascii="仿宋_GB2312" w:hAnsi="仿宋_GB2312" w:cs="仿宋_GB2312"/>
          <w:color w:val="auto"/>
          <w:kern w:val="0"/>
          <w:sz w:val="32"/>
          <w:szCs w:val="32"/>
          <w:lang w:val="en-US" w:eastAsia="zh-CN"/>
        </w:rPr>
        <w:t>600</w:t>
      </w:r>
      <w:r>
        <w:rPr>
          <w:rFonts w:hint="eastAsia" w:ascii="仿宋_GB2312" w:hAnsi="仿宋_GB2312" w:eastAsia="仿宋_GB2312" w:cs="仿宋_GB2312"/>
          <w:color w:val="auto"/>
          <w:kern w:val="0"/>
          <w:sz w:val="32"/>
          <w:szCs w:val="32"/>
          <w:lang w:val="en-US" w:eastAsia="zh-CN"/>
        </w:rPr>
        <w:t>万吨</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为唐山市建材行业的可持续发展发展提供部分原料替代。</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6" w:name="_Toc23231"/>
      <w:r>
        <w:rPr>
          <w:rFonts w:hint="eastAsia" w:ascii="方正楷体简体" w:hAnsi="方正楷体简体" w:eastAsia="方正楷体简体" w:cs="方正楷体简体"/>
          <w:b/>
          <w:bCs w:val="0"/>
          <w:lang w:val="en-US" w:eastAsia="zh-CN"/>
        </w:rPr>
        <w:t>（二）制约因素</w:t>
      </w:r>
      <w:bookmarkEnd w:id="6"/>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 xml:space="preserve">环境容量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唐山市已经形成了以钢铁、装备制造、基础能源、化工、建材为主的资源依赖型产业结构。重工业</w:t>
      </w:r>
      <w:r>
        <w:rPr>
          <w:rFonts w:hint="eastAsia" w:ascii="仿宋_GB2312" w:hAnsi="仿宋_GB2312" w:cs="仿宋_GB2312"/>
          <w:color w:val="auto"/>
          <w:kern w:val="0"/>
          <w:sz w:val="32"/>
          <w:szCs w:val="32"/>
          <w:lang w:val="en-US" w:eastAsia="zh-CN"/>
        </w:rPr>
        <w:t>增加值贡献率</w:t>
      </w:r>
      <w:r>
        <w:rPr>
          <w:rFonts w:hint="eastAsia" w:ascii="仿宋_GB2312" w:hAnsi="仿宋_GB2312" w:eastAsia="仿宋_GB2312" w:cs="仿宋_GB2312"/>
          <w:color w:val="auto"/>
          <w:kern w:val="0"/>
          <w:sz w:val="32"/>
          <w:szCs w:val="32"/>
          <w:lang w:val="en-US" w:eastAsia="zh-CN"/>
        </w:rPr>
        <w:t>占比</w:t>
      </w:r>
      <w:r>
        <w:rPr>
          <w:rFonts w:hint="eastAsia" w:ascii="仿宋_GB2312" w:hAnsi="仿宋_GB2312" w:cs="仿宋_GB2312"/>
          <w:color w:val="auto"/>
          <w:kern w:val="0"/>
          <w:sz w:val="32"/>
          <w:szCs w:val="32"/>
          <w:lang w:val="en-US" w:eastAsia="zh-CN"/>
        </w:rPr>
        <w:t>90.9</w:t>
      </w:r>
      <w:r>
        <w:rPr>
          <w:rFonts w:hint="eastAsia" w:ascii="仿宋_GB2312" w:hAnsi="仿宋_GB2312" w:eastAsia="仿宋_GB2312" w:cs="仿宋_GB2312"/>
          <w:color w:val="auto"/>
          <w:kern w:val="0"/>
          <w:sz w:val="32"/>
          <w:szCs w:val="32"/>
          <w:lang w:val="en-US" w:eastAsia="zh-CN"/>
        </w:rPr>
        <w:t xml:space="preserve">%，新兴产业、消费品产业发展滞后，单位GDP能耗、二氧化硫排放强度均高于全省平均水平。在京津冀一体化协同发展大背景下，唐山市环境现状与《唐山市生态文明体制改革实施方案》提出的“着力打造京津冀生态环境支撑区，着力解决生态环境领域突出问题，着力加快生态环境质量改善”的要求还有很大差距。特别是作为“2+26”大气污染传输通道城市，唐山市主要污染物排放总量控制任务十分艰巨，环境治理面临的形势依然严峻。传统建材行业发展将受到日趋严格的生态环保约束。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 xml:space="preserve">区域竞争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唐山市建材产品除卫生陶瓷、钢结构等运距较远外，大多以京津冀地区为主要市场，区域内邢台（沙河）、天津、秦皇岛、廊坊等地玻璃产业发达，分布着南玻、台玻、信义、耀华等众多知名企业；廊坊（大城）是我国著名的保温材料集聚地，各类保温材料产能大、种类全；石家庄、邯郸等地装配式建筑产业发展较快，拥有河北建设集团股份有限公司、河北建筑设计研究院有限责任公司、河北省建筑科学研究院、河北新大地机电制造有限公司、金环建设集团邯郸有限公司等国家装配式建筑产业基地。唐山市建材产业虽基础雄厚，但传统产品比重偏大、科技创新投入不足、产业发展人才短缺、产业融合发展滞后等问题制约着行业发展，行业整体大而不强，对于科技创新、高端人才等要素资源的吸引力不足，将受到周边地区建材产业的市场竞争威胁，亟需加快提高产业竞争能力。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7" w:name="_Toc25658"/>
      <w:r>
        <w:rPr>
          <w:rFonts w:hint="eastAsia" w:ascii="方正楷体简体" w:hAnsi="方正楷体简体" w:eastAsia="方正楷体简体" w:cs="方正楷体简体"/>
          <w:b/>
          <w:bCs w:val="0"/>
          <w:lang w:val="en-US" w:eastAsia="zh-CN"/>
        </w:rPr>
        <w:t>（三）发展机遇</w:t>
      </w:r>
      <w:bookmarkEnd w:id="7"/>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1.京津冀协同发展促进唐山市建材行业的转型升级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京津冀协同发展战略的核心是有序疏解北京非首都功能，并在京津冀交通一体化、生态环境保护、产业升级转移等重点领域率先取得突破。唐山市深入探索京津冀协同发展体制机制，出台了《唐山市构建开放型经济新体制综合试点试验方案》，提出积极搭建产业合作平台，以园区为载体推进装配式建筑部品、智能卫浴、防水材料等建材行业的集聚发展。加之京津冀一体化将带来基础设施建设的增加，必将推动唐山进一步发挥区位优势和要素成本比较优势，协同推进京津人才、科技等生产要素的优化配置，打造服务区域市场的中高端建材产品及装配式建筑部品基地等，实现区域生产力布局优化调整，加速行业转型升级。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2.《中国制造2025》为唐山市建材行业高端发展指明方向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中国制造2025》给出了制造强国建设向着高端化、智能化、绿色化和服务化发展的总要求。提出要着力发展智能装备和智能产品，推进生产过程智能化，培育新型生产方式，全面提升企业研发、生产、管理和服务的智能化水平。把互联网、大数据、云计算、物联网等信息技术的应用和开发融入产品设计、生产、营销管理的每个环节，推动产业间融合发展，加速孕育建材产业创新发展新空间。全面推行绿色制造是建设制造强国的内在要求，必须加快实施传统行业绿色改造升级，积极引领新兴产业高起点绿色发展，推进资源高效循环利用，积极构建绿色制造体系。发展服务型制造业是建材产业结构升级的关键，要求制造与服务深度融合，从投入和产出两个方面增加服务要素在生产经营活动中的比重，创造面向制造的服务和面向服务的制造协同发展的新型产业形态，实现从以产品为中心向以服务为中心的转型，向市场提供“制造+服务”的一体化解决方案，重构价值链和商业模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式。这些要求为唐山市建材行业指明了发展方向。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3.建筑业的升级为建材产业转型升级带来发展机遇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绿色建筑是未来我国建筑产业升级的主要方向，先后发布了《绿色建筑行动方案》、《建筑节能与绿色建筑发展“十三五”规划》等文件，提出到2020年城镇新建建筑中绿色建筑面积比重超过50%。发展装配式建筑是实现绿色建筑的重要途径，国务院办公厅《关于大力发展装配式建筑的指导意见》，将京津冀城市群作为装配式建筑重点推进地区。而《河北省装配式建筑“十三五”发展规划》又将唐山定位为率先发展地区，进一步明确了唐山市装配式建筑发展定位、产业引导方向及重点服务市场。此外，河北省积极响应国家政策，大力发展被动式低能耗建筑，开展被动式低能耗绿色建筑示范，已经出台相关标准规范。唐山市更是建设了国内规模最大的被动式建筑群。绿色建筑、装配式建筑和被动式低能耗建筑对建材产品的品种、性能、功能、质量等提出了更高要求，为建材产业转型升级和装配式建筑部品的发展提供广阔的空间，在政策推动和消费升级的双重驱动下，绿色建材将迎来了难得的发展机遇。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4.“一带一路”建设为唐山市建材行业带来发展机遇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党的十九大报告提出，积极促进“一带一路”国际合作，创新对外投资方式，促进国际产能合作，形成面向全球的贸易、投融资、生产、服务网络，加快培育国际经济合作和竞争新优势。唐山市是一个集海、陆、空三位一体的重要交通枢纽城市，紧邻京津，滨海临港，奠定了融入“一带一路”建设特有的区位优势。一方面，借助唐山市建材工业雄厚的基础，通过优势产能输出实现国际产能合作，为进一步扩大卫生陶瓷、耐火材料等产品“走出去”提供了难得的机遇。另一方面，也为发挥滨海临港优势，广纳国内外优势资源，发展临港加工产业提供了可能。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8" w:name="_Toc15807"/>
      <w:r>
        <w:rPr>
          <w:rFonts w:hint="eastAsia" w:ascii="方正楷体简体" w:hAnsi="方正楷体简体" w:eastAsia="方正楷体简体" w:cs="方正楷体简体"/>
          <w:b/>
          <w:bCs w:val="0"/>
          <w:lang w:val="en-US" w:eastAsia="zh-CN"/>
        </w:rPr>
        <w:t>（四）面临挑战</w:t>
      </w:r>
      <w:bookmarkEnd w:id="8"/>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1.生态文明建设倒逼行业转变发展方式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生态文明建设是关系中华民族永续发展的根本大计，习近平总书记在全国生态环境保护大会上强调要加快形成节约资源和保护环境的空间格局、产业结构、生产方式、生活方式，并用最严格制度最严密法治保护生态环境，加快制度创新，强化制度执行，让制度成为刚性的约束和不可触碰的高压线。河北省深入开展蓝天、碧水、净土三大行动，集中治理影响大气环境的“两高”“两散”“两车”“三尘”等问题，按照习近平总书记坚决去、主动调、加快转的重要指示，以产业生态化为方向，着力调整产业结构、能源结构、交通结构和优化布局，建立生态经济体系，推动高质量绿色发展。随着生态文明建设的加快推进以及相关能耗和环保标准不断提升，国家及河北省先后出台了水泥、玻璃、陶瓷、墙体材料等行业的配套环保政策，作为“2+26”大气污染传输通道城市之一的唐山市将面临更加严格的大气污染和环境保护管控措施约束。资源和环境约束的日趋增强，必将进一步倒逼建材行业加快转型升级步伐，走资源节约、环境友好的绿色可持续发展之路。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2.深化供给侧结构性改革要求行业加快转换发展动能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党的十八大作出加快供给侧结构性改革的重大决策，明确了去产能、去库存、去杠杆、降成本、补短板五大任务，要求在发挥市场在资源配置中的决定性作用的同时，更好发挥政府作用，实现由低水平供需平衡向高水平供需平衡跃升。十九大报告也提出了以供给侧结构性改革为主线，推动经济发展质量变革、效率变革、动力变革。当前唐山市建材工业供给侧结构性矛盾突出，水泥、玻璃、墙体材料等主导产品产能过剩，新兴产业规模小，绿色建材品种少，品质档次不高，难以满足装配式建筑和人民消费升级的市场需求。加快去产能、降成本、补短板，开展供给侧结构性改革，促进新旧动能转换，创造新供给，培育新需求，对唐山市建材产业提出了严峻挑战。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3.战略性新兴产业的深化发展，对建材新兴产业提出更高要求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三五”国家战略性新兴产业发展规划》提出要扩大高性能纤维、先进无机非金属材料、动力电池材料等规模化应用范围，逐步进入国际高端制造业采购体系。发展战略性新兴产业已成为我国抢占新一轮经济和科技发展制高点的重大战略。建材工业是国民经济重要的基础原材料工业，其中的无机非金属新材料产业既是战略性新兴产业之一，又与节能环保、新能源、新材料等战略性新兴产业有着很强的关联性，是支撑战略性新兴产业发展的重要基础产业。战略性新兴产业发展既为建材产业提供广阔的市场空间，也对建材产品的性能、功能、质量等提出了更高要求。唐山市发展建材新兴产业面临着提升现有技术研发水平、增加关键技术和前瞻性技术储备、集聚高端技术人才等诸多方面的挑战。</w:t>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0"/>
        <w:rPr>
          <w:rFonts w:hint="eastAsia" w:ascii="黑体" w:hAnsi="黑体" w:eastAsia="黑体" w:cs="黑体"/>
          <w:b w:val="0"/>
          <w:bCs/>
          <w:lang w:val="en-US" w:eastAsia="zh-CN"/>
        </w:rPr>
      </w:pPr>
      <w:bookmarkStart w:id="9" w:name="_Toc22081"/>
      <w:r>
        <w:rPr>
          <w:rFonts w:hint="eastAsia" w:ascii="黑体" w:hAnsi="黑体" w:eastAsia="黑体" w:cs="黑体"/>
          <w:b w:val="0"/>
          <w:bCs/>
          <w:lang w:val="en-US" w:eastAsia="zh-CN"/>
        </w:rPr>
        <w:t>三、总体要求</w:t>
      </w:r>
      <w:bookmarkEnd w:id="9"/>
      <w:r>
        <w:rPr>
          <w:rFonts w:hint="eastAsia" w:ascii="黑体" w:hAnsi="黑体" w:eastAsia="黑体" w:cs="黑体"/>
          <w:b w:val="0"/>
          <w:bCs/>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0" w:name="_Toc18617"/>
      <w:r>
        <w:rPr>
          <w:rFonts w:hint="eastAsia" w:ascii="方正楷体简体" w:hAnsi="方正楷体简体" w:eastAsia="方正楷体简体" w:cs="方正楷体简体"/>
          <w:b/>
          <w:bCs w:val="0"/>
          <w:lang w:val="en-US" w:eastAsia="zh-CN"/>
        </w:rPr>
        <w:t>（一）指导思想</w:t>
      </w:r>
      <w:bookmarkEnd w:id="10"/>
      <w:r>
        <w:rPr>
          <w:rFonts w:hint="eastAsia" w:ascii="方正楷体简体" w:hAnsi="方正楷体简体" w:eastAsia="方正楷体简体" w:cs="方正楷体简体"/>
          <w:b/>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以习近平新时代中国特色社会主义思想为指引，全面贯彻党的十九大精神</w:t>
      </w:r>
      <w:r>
        <w:rPr>
          <w:rFonts w:hint="eastAsia" w:ascii="宋体" w:hAnsi="宋体" w:eastAsia="仿宋_GB2312" w:cs="仿宋_GB2312"/>
          <w:color w:val="000000"/>
          <w:sz w:val="32"/>
          <w:szCs w:val="32"/>
        </w:rPr>
        <w:t>和省委、省政府决策部署</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贯彻</w:t>
      </w:r>
      <w:r>
        <w:rPr>
          <w:rFonts w:hint="eastAsia" w:ascii="宋体" w:hAnsi="宋体" w:eastAsia="仿宋_GB2312" w:cs="仿宋_GB2312"/>
          <w:color w:val="000000"/>
          <w:sz w:val="32"/>
          <w:szCs w:val="32"/>
        </w:rPr>
        <w:t>市委十届十次全会精神，落实</w:t>
      </w:r>
      <w:r>
        <w:rPr>
          <w:rFonts w:hint="eastAsia" w:ascii="仿宋_GB2312" w:hAnsi="仿宋_GB2312" w:eastAsia="仿宋_GB2312" w:cs="仿宋_GB2312"/>
          <w:color w:val="000000"/>
          <w:sz w:val="32"/>
          <w:szCs w:val="32"/>
        </w:rPr>
        <w:t>“33458</w:t>
      </w:r>
      <w:r>
        <w:rPr>
          <w:rFonts w:hint="eastAsia" w:ascii="仿宋_GB2312" w:hAnsi="仿宋_GB2312" w:eastAsia="仿宋_GB2312" w:cs="仿宋_GB2312"/>
          <w:color w:val="000000"/>
          <w:sz w:val="32"/>
          <w:szCs w:val="32"/>
          <w:lang w:eastAsia="zh-CN"/>
        </w:rPr>
        <w:t>”</w:t>
      </w:r>
      <w:r>
        <w:rPr>
          <w:rFonts w:hint="eastAsia" w:ascii="宋体" w:hAnsi="宋体" w:eastAsia="仿宋_GB2312" w:cs="仿宋_GB2312"/>
          <w:color w:val="000000"/>
          <w:sz w:val="32"/>
          <w:szCs w:val="32"/>
        </w:rPr>
        <w:t>工作思路，推进十二个重点产业高质量发展要求，</w:t>
      </w:r>
      <w:r>
        <w:rPr>
          <w:rFonts w:hint="eastAsia" w:ascii="仿宋_GB2312" w:hAnsi="仿宋_GB2312" w:eastAsia="仿宋_GB2312" w:cs="仿宋_GB2312"/>
          <w:color w:val="000000"/>
          <w:kern w:val="0"/>
          <w:sz w:val="32"/>
          <w:szCs w:val="32"/>
          <w:lang w:val="en-US" w:eastAsia="zh-CN"/>
        </w:rPr>
        <w:t>落实新发展理念，站在京津冀协同发展的战略高度，以生态唐山建设为遵循，供给侧结构性改革为主线，创新驱动为动力，坚守环保底线，加快推进传统建材产业转型升级，大力培育装配式部品和</w:t>
      </w:r>
      <w:r>
        <w:rPr>
          <w:rFonts w:hint="eastAsia" w:ascii="仿宋_GB2312" w:hAnsi="仿宋_GB2312" w:cs="仿宋_GB2312"/>
          <w:color w:val="000000"/>
          <w:kern w:val="0"/>
          <w:sz w:val="32"/>
          <w:szCs w:val="32"/>
          <w:lang w:val="en-US" w:eastAsia="zh-CN"/>
        </w:rPr>
        <w:t>被动式超低能耗建筑</w:t>
      </w:r>
      <w:r>
        <w:rPr>
          <w:rFonts w:hint="eastAsia" w:ascii="仿宋_GB2312" w:hAnsi="仿宋_GB2312" w:eastAsia="仿宋_GB2312" w:cs="仿宋_GB2312"/>
          <w:color w:val="000000"/>
          <w:kern w:val="0"/>
          <w:sz w:val="32"/>
          <w:szCs w:val="32"/>
          <w:lang w:val="en-US" w:eastAsia="zh-CN"/>
        </w:rPr>
        <w:t>产业，形成制造服务新业态，全面提升唐山核心竞争力和创新发展能力，构建具有唐山特色的绿色建材产业体系，打造</w:t>
      </w:r>
      <w:r>
        <w:rPr>
          <w:rFonts w:hint="eastAsia" w:ascii="仿宋_GB2312" w:hAnsi="仿宋_GB2312" w:cs="仿宋_GB2312"/>
          <w:color w:val="000000"/>
          <w:kern w:val="0"/>
          <w:sz w:val="32"/>
          <w:szCs w:val="32"/>
          <w:lang w:val="en-US" w:eastAsia="zh-CN"/>
        </w:rPr>
        <w:t>河北省</w:t>
      </w:r>
      <w:r>
        <w:rPr>
          <w:rFonts w:hint="eastAsia"/>
        </w:rPr>
        <w:t>装配式超低能耗建筑产业示范基地</w:t>
      </w:r>
      <w:r>
        <w:rPr>
          <w:rFonts w:hint="eastAsia"/>
          <w:lang w:eastAsia="zh-CN"/>
        </w:rPr>
        <w:t>、</w:t>
      </w:r>
      <w:r>
        <w:rPr>
          <w:rFonts w:hint="eastAsia" w:ascii="仿宋_GB2312" w:hAnsi="仿宋_GB2312" w:eastAsia="仿宋_GB2312" w:cs="仿宋_GB2312"/>
          <w:color w:val="000000"/>
          <w:kern w:val="0"/>
          <w:sz w:val="32"/>
          <w:szCs w:val="32"/>
          <w:lang w:val="en-US" w:eastAsia="zh-CN"/>
        </w:rPr>
        <w:t xml:space="preserve">京津冀高端绿色建材产品供应基地、北方重要的装配式建筑部品制造集成基地和国内一流的建材新兴产业创新制造基地，再创唐山建材产业新辉煌，为实现“新时代唐山高质量发展”提供坚实支撑。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1" w:name="_Toc31691"/>
      <w:r>
        <w:rPr>
          <w:rFonts w:hint="eastAsia" w:ascii="方正楷体简体" w:hAnsi="方正楷体简体" w:eastAsia="方正楷体简体" w:cs="方正楷体简体"/>
          <w:b/>
          <w:bCs w:val="0"/>
          <w:lang w:val="en-US" w:eastAsia="zh-CN"/>
        </w:rPr>
        <w:t>（二）基本原则</w:t>
      </w:r>
      <w:bookmarkEnd w:id="11"/>
      <w:r>
        <w:rPr>
          <w:rFonts w:hint="eastAsia" w:ascii="方正楷体简体" w:hAnsi="方正楷体简体" w:eastAsia="方正楷体简体" w:cs="方正楷体简体"/>
          <w:b/>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kern w:val="0"/>
          <w:sz w:val="30"/>
          <w:szCs w:val="30"/>
          <w:lang w:val="en-US" w:eastAsia="zh-CN"/>
        </w:rPr>
        <w:t>守牢底线，绿色发展。</w:t>
      </w:r>
      <w:r>
        <w:rPr>
          <w:rFonts w:hint="eastAsia" w:ascii="仿宋_GB2312" w:hAnsi="仿宋_GB2312" w:eastAsia="仿宋_GB2312" w:cs="仿宋_GB2312"/>
          <w:color w:val="000000"/>
          <w:kern w:val="0"/>
          <w:sz w:val="30"/>
          <w:szCs w:val="30"/>
          <w:lang w:val="en-US" w:eastAsia="zh-CN"/>
        </w:rPr>
        <w:t xml:space="preserve">贯彻习近平生态文明思想，守牢“2+26”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rPr>
        <w:t xml:space="preserve">城市环保要求底线，实行最严格的环境保护制度，强化节能减排和资源综合利用，淘汰低端无效产能，建立基于全生命周期的绿色建材产业体系，走绿色低碳、清洁安全的可持续发展之路。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kern w:val="0"/>
          <w:sz w:val="30"/>
          <w:szCs w:val="30"/>
          <w:lang w:val="en-US" w:eastAsia="zh-CN"/>
        </w:rPr>
        <w:t>产业联动，协调发展。</w:t>
      </w:r>
      <w:r>
        <w:rPr>
          <w:rFonts w:hint="eastAsia" w:ascii="仿宋_GB2312" w:hAnsi="仿宋_GB2312" w:eastAsia="仿宋_GB2312" w:cs="仿宋_GB2312"/>
          <w:color w:val="000000"/>
          <w:kern w:val="0"/>
          <w:sz w:val="30"/>
          <w:szCs w:val="30"/>
          <w:lang w:val="en-US" w:eastAsia="zh-CN"/>
        </w:rPr>
        <w:t xml:space="preserve">加强区域市场信息共享，促进京津科技成果转化和产业转移承接，探索跨界融合、开放共享的集成创新模式。强化与上下游关联产业的联动发展，提高产业协同发展能力，扩大高端产品供给，加快产业和产品向价值链中高端跃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kern w:val="0"/>
          <w:sz w:val="30"/>
          <w:szCs w:val="30"/>
          <w:lang w:val="en-US" w:eastAsia="zh-CN"/>
        </w:rPr>
        <w:t>创新驱动，集聚发展。</w:t>
      </w:r>
      <w:r>
        <w:rPr>
          <w:rFonts w:hint="eastAsia" w:ascii="仿宋_GB2312" w:hAnsi="仿宋_GB2312" w:eastAsia="仿宋_GB2312" w:cs="仿宋_GB2312"/>
          <w:color w:val="000000"/>
          <w:kern w:val="0"/>
          <w:sz w:val="30"/>
          <w:szCs w:val="30"/>
          <w:lang w:val="en-US" w:eastAsia="zh-CN"/>
        </w:rPr>
        <w:t xml:space="preserve">继承传统优势产业的文化与资源，深入实施创新驱动发展战略，加快推进技术创新、管理创新和商业模式创新，促进关联产业集聚，培育特色建材产业园区、集群，提高行业全要素生产率。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kern w:val="0"/>
          <w:sz w:val="30"/>
          <w:szCs w:val="30"/>
          <w:lang w:val="en-US" w:eastAsia="zh-CN"/>
        </w:rPr>
        <w:t>统筹推进，融合发展。</w:t>
      </w:r>
      <w:r>
        <w:rPr>
          <w:rFonts w:hint="eastAsia" w:ascii="仿宋_GB2312" w:hAnsi="仿宋_GB2312" w:eastAsia="仿宋_GB2312" w:cs="仿宋_GB2312"/>
          <w:color w:val="000000"/>
          <w:kern w:val="0"/>
          <w:sz w:val="30"/>
          <w:szCs w:val="30"/>
          <w:lang w:val="en-US" w:eastAsia="zh-CN"/>
        </w:rPr>
        <w:t xml:space="preserve">统筹协调建材产业与钢铁、化工、建筑、信息等关联产业融合发展，推动产业链延伸与关联生产性服务业培育，促进行业内外部产业成链发展，提升产业智能制造、创新制造、服务制造水平，增强行业发展的整体性和协调性。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color w:val="000000"/>
          <w:kern w:val="0"/>
          <w:sz w:val="30"/>
          <w:szCs w:val="30"/>
          <w:lang w:val="en-US" w:eastAsia="zh-CN"/>
        </w:rPr>
        <w:t>开放合作，共享发展。</w:t>
      </w:r>
      <w:r>
        <w:rPr>
          <w:rFonts w:hint="eastAsia" w:ascii="仿宋_GB2312" w:hAnsi="仿宋_GB2312" w:eastAsia="仿宋_GB2312" w:cs="仿宋_GB2312"/>
          <w:color w:val="000000"/>
          <w:kern w:val="0"/>
          <w:sz w:val="30"/>
          <w:szCs w:val="30"/>
          <w:lang w:val="en-US" w:eastAsia="zh-CN"/>
        </w:rPr>
        <w:t xml:space="preserve">以“一带一路”建设为重点，坚持引进来和走出去并重，统筹利用国际国内两个市场两种资源，依托临港优势，寻找新资源、开拓新市场，打造国际化制造物流集散中心，积极实施跟随战略和抱团出海战略，加快产业全球布局，共享国际化发展成果。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2" w:name="_Toc18391"/>
      <w:r>
        <w:rPr>
          <w:rFonts w:hint="eastAsia" w:ascii="方正楷体简体" w:hAnsi="方正楷体简体" w:eastAsia="方正楷体简体" w:cs="方正楷体简体"/>
          <w:b/>
          <w:bCs w:val="0"/>
          <w:lang w:val="en-US" w:eastAsia="zh-CN"/>
        </w:rPr>
        <w:t>（三）主要目标</w:t>
      </w:r>
      <w:bookmarkEnd w:id="12"/>
      <w:r>
        <w:rPr>
          <w:rFonts w:hint="eastAsia" w:ascii="方正楷体简体" w:hAnsi="方正楷体简体" w:eastAsia="方正楷体简体" w:cs="方正楷体简体"/>
          <w:b/>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抢抓供给侧结构性改革、京津冀协同发展和“一带一路”建设三大重大战略机遇，守牢环保底线，推进唐山市建材产业精准转调，大力发展装配式建筑部品和新兴建材产业，培育制造服务新业态，力争到2025年实现“1234”转型发展目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rPr>
        <w:t xml:space="preserve">“1”——构建一体化发展新体系：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着力提升水泥、陶瓷等传统产业发展质量和环保水平，推进跨界融合、开放共享和集成创新，促进建材与建筑及相关产业协同，向以绿色化、功能化、服务化为特征的价值链中高端转型发展，力争到2025年建材产业主营业务收入能力（含生产性服务业）超过1500亿元，构建多产业协同一体化的建材产业新体系。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rPr>
        <w:t xml:space="preserve">“2”——取得两项重大进展：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一是产业结构调整取得重大进展。到2025年，水泥、卫生陶瓷等传统产业占比下降到</w:t>
      </w:r>
      <w:r>
        <w:rPr>
          <w:rFonts w:hint="eastAsia" w:ascii="仿宋_GB2312" w:hAnsi="仿宋_GB2312" w:cs="仿宋_GB2312"/>
          <w:color w:val="auto"/>
          <w:kern w:val="0"/>
          <w:sz w:val="32"/>
          <w:szCs w:val="32"/>
          <w:lang w:val="en-US" w:eastAsia="zh-CN"/>
        </w:rPr>
        <w:t>40</w:t>
      </w:r>
      <w:r>
        <w:rPr>
          <w:rFonts w:hint="eastAsia" w:ascii="仿宋_GB2312" w:hAnsi="仿宋_GB2312" w:eastAsia="仿宋_GB2312" w:cs="仿宋_GB2312"/>
          <w:color w:val="auto"/>
          <w:kern w:val="0"/>
          <w:sz w:val="32"/>
          <w:szCs w:val="32"/>
          <w:lang w:val="en-US" w:eastAsia="zh-CN"/>
        </w:rPr>
        <w:t>%以下。装配式建筑部品和</w:t>
      </w:r>
      <w:r>
        <w:rPr>
          <w:rFonts w:hint="eastAsia" w:ascii="仿宋_GB2312" w:hAnsi="仿宋_GB2312" w:cs="仿宋_GB2312"/>
          <w:color w:val="auto"/>
          <w:kern w:val="0"/>
          <w:sz w:val="32"/>
          <w:szCs w:val="32"/>
          <w:lang w:val="en-US" w:eastAsia="zh-CN"/>
        </w:rPr>
        <w:t>被动式超低能耗建筑</w:t>
      </w:r>
      <w:r>
        <w:rPr>
          <w:rFonts w:hint="eastAsia" w:ascii="仿宋_GB2312" w:hAnsi="仿宋_GB2312" w:eastAsia="仿宋_GB2312" w:cs="仿宋_GB2312"/>
          <w:color w:val="auto"/>
          <w:kern w:val="0"/>
          <w:sz w:val="32"/>
          <w:szCs w:val="32"/>
          <w:lang w:val="en-US" w:eastAsia="zh-CN"/>
        </w:rPr>
        <w:t xml:space="preserve">产业规模化、集聚化发展，在建材工业总产值中的比重提高到30%以上，建成京津冀高端建材产品供应基地。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textAlignment w:val="auto"/>
        <w:rPr>
          <w:rFonts w:hint="eastAsia"/>
        </w:rPr>
      </w:pPr>
      <w:r>
        <w:rPr>
          <w:rFonts w:hint="eastAsia" w:ascii="仿宋_GB2312" w:hAnsi="仿宋_GB2312" w:eastAsia="仿宋_GB2312" w:cs="仿宋_GB2312"/>
          <w:color w:val="000000"/>
          <w:kern w:val="0"/>
          <w:sz w:val="32"/>
          <w:szCs w:val="32"/>
          <w:lang w:val="en-US" w:eastAsia="zh-CN"/>
        </w:rPr>
        <w:t>二是</w:t>
      </w:r>
      <w:r>
        <w:rPr>
          <w:rFonts w:hint="eastAsia"/>
        </w:rPr>
        <w:t>装配式建筑</w:t>
      </w:r>
      <w:r>
        <w:rPr>
          <w:rFonts w:hint="eastAsia" w:ascii="仿宋_GB2312" w:hAnsi="仿宋_GB2312" w:eastAsia="仿宋_GB2312" w:cs="仿宋_GB2312"/>
          <w:color w:val="000000"/>
          <w:kern w:val="0"/>
          <w:sz w:val="32"/>
          <w:szCs w:val="32"/>
          <w:lang w:val="en-US" w:eastAsia="zh-CN"/>
        </w:rPr>
        <w:t>部品供应体系建设取得重大进展。到2025年，全市装配式钢结构构件和装配式混凝土部品产能分别达到200万吨和180万立方米，</w:t>
      </w:r>
      <w:r>
        <w:rPr>
          <w:rFonts w:hint="eastAsia"/>
        </w:rPr>
        <w:t>依托</w:t>
      </w:r>
      <w:r>
        <w:rPr>
          <w:rFonts w:hint="eastAsia"/>
          <w:lang w:eastAsia="zh-CN"/>
        </w:rPr>
        <w:t>我市</w:t>
      </w:r>
      <w:r>
        <w:rPr>
          <w:rFonts w:hint="eastAsia"/>
        </w:rPr>
        <w:t>装配式建筑产业集中、工业设计能力突出、装备产业智能化水平高的优势，完善标准体系，探索被动式超低能耗建筑工厂化生产新路径，打造被动式超低能耗建筑新的建设模式样板。</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rPr>
        <w:t xml:space="preserve">“3”——实现三个明显提升：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一是绿色发展水平明显提升。</w:t>
      </w:r>
      <w:r>
        <w:rPr>
          <w:rFonts w:hint="eastAsia" w:ascii="仿宋_GB2312" w:hAnsi="仿宋_GB2312" w:eastAsia="仿宋_GB2312" w:cs="仿宋_GB2312"/>
          <w:color w:val="000000"/>
          <w:kern w:val="0"/>
          <w:sz w:val="32"/>
          <w:szCs w:val="32"/>
          <w:lang w:val="en-US" w:eastAsia="zh-CN"/>
        </w:rPr>
        <w:t>到2025年，建材各行业污染物排放水平全国领先，万元增加值能源消耗较2019年降低20%，吨水泥熟料综合能耗降低到100千克标煤，建成一批绿色矿山、绿色工厂和绿色园区，绿色建材主营业务收入占比达到50%以上。循环经济产业链条不断完善，年利用各类固体废弃物超过1250万吨。</w:t>
      </w:r>
      <w:r>
        <w:rPr>
          <w:rFonts w:hint="eastAsia" w:ascii="仿宋_GB2312" w:hAnsi="仿宋_GB2312" w:eastAsia="仿宋_GB2312" w:cs="仿宋_GB2312"/>
          <w:b/>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二是产业研发设计能力明显提升。</w:t>
      </w:r>
      <w:r>
        <w:rPr>
          <w:rFonts w:hint="eastAsia" w:ascii="仿宋_GB2312" w:hAnsi="仿宋_GB2312" w:eastAsia="仿宋_GB2312" w:cs="仿宋_GB2312"/>
          <w:color w:val="000000"/>
          <w:kern w:val="0"/>
          <w:sz w:val="32"/>
          <w:szCs w:val="32"/>
          <w:lang w:val="en-US" w:eastAsia="zh-CN"/>
        </w:rPr>
        <w:t>技术创新投入和政策支持力度明显加强。到2025年，全市规模以上企业拥有研发</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技术</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 xml:space="preserve">中心比例达到20%，培育超过20家市级以上工业设计示范企业，科技投入占年度主营业收入比重超过2.5%。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三是工艺技术和信息化水平明显提升。</w:t>
      </w:r>
      <w:r>
        <w:rPr>
          <w:rFonts w:hint="eastAsia" w:ascii="仿宋_GB2312" w:hAnsi="仿宋_GB2312" w:eastAsia="仿宋_GB2312" w:cs="仿宋_GB2312"/>
          <w:color w:val="000000"/>
          <w:kern w:val="0"/>
          <w:sz w:val="32"/>
          <w:szCs w:val="32"/>
          <w:lang w:val="en-US" w:eastAsia="zh-CN"/>
        </w:rPr>
        <w:t>到2025年，大中型建材企业工艺技术装备和信息化管理达到同行业领先水平，骨干企业达到国际先进水平，关键工序数控化率提高到80%。建成共享制造、电子商务和物联网等“建材+互联网”产业互联新体系。形成较为完备的京津冀产业承接转化平台和质量诚信平台。装配式建筑生产建造技术和产品质量明显提升，装配式建筑部品生产企业全面应用信息化设计技术。</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rPr>
        <w:t xml:space="preserve">“4”——取得四个重大突破：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一是龙头骨干企业培育取得突破。</w:t>
      </w:r>
      <w:r>
        <w:rPr>
          <w:rFonts w:hint="eastAsia" w:ascii="仿宋_GB2312" w:hAnsi="仿宋_GB2312" w:eastAsia="仿宋_GB2312" w:cs="仿宋_GB2312"/>
          <w:color w:val="000000"/>
          <w:kern w:val="0"/>
          <w:sz w:val="32"/>
          <w:szCs w:val="32"/>
          <w:lang w:val="en-US" w:eastAsia="zh-CN"/>
        </w:rPr>
        <w:t>到2025年，培育形成10家以上的全国建材500强企业，力争5</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 xml:space="preserve">8家企业在国内“新三板”市场挂牌上市。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二是品牌建设取得突破。</w:t>
      </w:r>
      <w:r>
        <w:rPr>
          <w:rFonts w:hint="eastAsia" w:ascii="仿宋_GB2312" w:hAnsi="仿宋_GB2312" w:eastAsia="仿宋_GB2312" w:cs="仿宋_GB2312"/>
          <w:color w:val="000000"/>
          <w:kern w:val="0"/>
          <w:sz w:val="32"/>
          <w:szCs w:val="32"/>
          <w:lang w:val="en-US" w:eastAsia="zh-CN"/>
        </w:rPr>
        <w:t xml:space="preserve">继承和发扬现有优势产业品牌基础，积极打造新产品、新品牌，到2025年，在水泥、陶瓷、建材新兴产业和装配式建筑部品领域形成20个左右的国内、国际知名品牌，培育“唐山陶瓷”等原产地标识。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三是制造服务新业态培育取得突破。</w:t>
      </w:r>
      <w:r>
        <w:rPr>
          <w:rFonts w:hint="eastAsia" w:ascii="仿宋_GB2312" w:hAnsi="仿宋_GB2312" w:eastAsia="仿宋_GB2312" w:cs="仿宋_GB2312"/>
          <w:color w:val="000000"/>
          <w:kern w:val="0"/>
          <w:sz w:val="32"/>
          <w:szCs w:val="32"/>
          <w:lang w:val="en-US" w:eastAsia="zh-CN"/>
        </w:rPr>
        <w:t>到2025年，建材产业与互联网、现代生产性服务业和现代物流产业的融合发展取得显著进展，形成一批适应唐山特点和装配式建筑</w:t>
      </w:r>
      <w:r>
        <w:rPr>
          <w:rFonts w:hint="eastAsia" w:ascii="仿宋_GB2312" w:hAnsi="仿宋_GB2312" w:cs="仿宋_GB2312"/>
          <w:color w:val="000000"/>
          <w:kern w:val="0"/>
          <w:sz w:val="32"/>
          <w:szCs w:val="32"/>
          <w:lang w:val="en-US" w:eastAsia="zh-CN"/>
        </w:rPr>
        <w:t>、被动式超低能耗建筑</w:t>
      </w:r>
      <w:r>
        <w:rPr>
          <w:rFonts w:hint="eastAsia" w:ascii="仿宋_GB2312" w:hAnsi="仿宋_GB2312" w:eastAsia="仿宋_GB2312" w:cs="仿宋_GB2312"/>
          <w:color w:val="000000"/>
          <w:kern w:val="0"/>
          <w:sz w:val="32"/>
          <w:szCs w:val="32"/>
          <w:lang w:val="en-US" w:eastAsia="zh-CN"/>
        </w:rPr>
        <w:t xml:space="preserve">需要的发展新模式、新业态，培育15家以上制造型服务业示范企业。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rPr>
        <w:t>四是布局优化取得突破。</w:t>
      </w:r>
      <w:r>
        <w:rPr>
          <w:rFonts w:hint="eastAsia" w:ascii="仿宋_GB2312" w:hAnsi="仿宋_GB2312" w:eastAsia="仿宋_GB2312" w:cs="仿宋_GB2312"/>
          <w:color w:val="000000"/>
          <w:kern w:val="0"/>
          <w:sz w:val="32"/>
          <w:szCs w:val="32"/>
          <w:lang w:val="en-US" w:eastAsia="zh-CN"/>
        </w:rPr>
        <w:t xml:space="preserve">到2025年，构建六大绿色建材产业聚集区，即玉田、丰润、遵化装配式建筑产业集聚区，丰南沿海陶瓷产业集聚区，芦汉装配式建筑和玻璃深加工产业聚集区，沿海装配式建筑和建材商贸物流产业集聚区。 </w:t>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0"/>
        <w:rPr>
          <w:rFonts w:hint="eastAsia" w:ascii="黑体" w:hAnsi="黑体" w:eastAsia="黑体" w:cs="黑体"/>
          <w:b w:val="0"/>
          <w:bCs/>
          <w:lang w:val="en-US" w:eastAsia="zh-CN"/>
        </w:rPr>
      </w:pPr>
      <w:bookmarkStart w:id="13" w:name="_Toc26072"/>
      <w:r>
        <w:rPr>
          <w:rFonts w:hint="eastAsia" w:ascii="黑体" w:hAnsi="黑体" w:eastAsia="黑体" w:cs="黑体"/>
          <w:b w:val="0"/>
          <w:bCs/>
          <w:lang w:val="en-US" w:eastAsia="zh-CN"/>
        </w:rPr>
        <w:t>四、主要任务</w:t>
      </w:r>
      <w:bookmarkEnd w:id="13"/>
      <w:r>
        <w:rPr>
          <w:rFonts w:hint="eastAsia" w:ascii="黑体" w:hAnsi="黑体" w:eastAsia="黑体" w:cs="黑体"/>
          <w:b w:val="0"/>
          <w:bCs/>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4" w:name="_Toc12182"/>
      <w:r>
        <w:rPr>
          <w:rFonts w:hint="eastAsia" w:ascii="方正楷体简体" w:hAnsi="方正楷体简体" w:eastAsia="方正楷体简体" w:cs="方正楷体简体"/>
          <w:b/>
          <w:bCs w:val="0"/>
          <w:lang w:val="en-US" w:eastAsia="zh-CN"/>
        </w:rPr>
        <w:t>（一）加快供给侧结构性改革</w:t>
      </w:r>
      <w:bookmarkEnd w:id="14"/>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1.推进企业重组联合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整合水泥灰岩矿权。按照总量控制、集中开采、集约利用的原则，开展水泥用灰岩矿山治理整顿，严格限制水泥灰岩开发规模和强度，全面关停生产规模在100万吨以下和丰润、古冶、滦县外的水泥灰岩矿权,逐步将水泥灰岩矿山集中到丰润王官营、滦县杨柳庄和古冶域山三个集中开采区。对于保留的采矿权证，鼓励通过成立由政府主导的水泥灰岩交易平台，统一全市水泥灰岩销售、交易、结算、监管等流程。鼓励和支持有实力、勇于承担社会责任的大型企业，通过联合改造、收购重组、优势企业兼并等方式，对开采方法和技术装备落后、资源利用水平低、不符合环保要求、生产规模达不到设计要求、存在安全隐患的矿山进行整合重组。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促进企业重组联合。不断完善行业诚信自律体系，支持水泥企业通过相互持股、委托经营、资产置换等市场化手段实现产权融合，</w:t>
      </w:r>
      <w:r>
        <w:rPr>
          <w:rFonts w:hint="eastAsia" w:ascii="仿宋_GB2312" w:hAnsi="仿宋_GB2312" w:eastAsia="仿宋_GB2312" w:cs="仿宋_GB2312"/>
          <w:sz w:val="32"/>
          <w:szCs w:val="32"/>
          <w:lang w:val="en-US" w:eastAsia="zh-CN"/>
        </w:rPr>
        <w:t>鼓励有条件的水泥企业发挥产品、技术、资金、资源等优势，通过联合改造、收购重组、优势企业兼并等多种方式实施整合重组，</w:t>
      </w:r>
      <w:r>
        <w:rPr>
          <w:rFonts w:hint="eastAsia" w:ascii="仿宋_GB2312" w:hAnsi="仿宋_GB2312" w:eastAsia="仿宋_GB2312" w:cs="仿宋_GB2312"/>
          <w:color w:val="000000"/>
          <w:kern w:val="0"/>
          <w:sz w:val="32"/>
          <w:szCs w:val="32"/>
          <w:lang w:val="en-US" w:eastAsia="zh-CN"/>
        </w:rPr>
        <w:t>提高产业集中度。</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鼓励墙材龙头企业采取联合销售等方式，开展行业自律，降低恶性竞争对产品质量的影响。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2.优化产品结构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统筹资源禀赋、环境容量、交通物流、市场需求等因素，因地制宜，培育区域特色建材产业，形成一批特色鲜明、产业集聚的生产基地。着力提升建材产业质量档次和技术水平，加快传统建材升级换代，</w:t>
      </w:r>
      <w:r>
        <w:rPr>
          <w:rFonts w:hint="eastAsia" w:ascii="仿宋_GB2312" w:hAnsi="仿宋_GB2312" w:eastAsia="仿宋_GB2312" w:cs="仿宋_GB2312"/>
          <w:color w:val="000000"/>
          <w:kern w:val="0"/>
          <w:sz w:val="32"/>
          <w:szCs w:val="32"/>
          <w:lang w:val="en-US" w:eastAsia="zh-CN"/>
        </w:rPr>
        <w:t>鼓励传统建材企业延伸产业链条，发展下游高附加值产品</w:t>
      </w:r>
      <w:r>
        <w:rPr>
          <w:rFonts w:hint="eastAsia" w:ascii="仿宋_GB2312" w:hAnsi="仿宋_GB2312" w:cs="仿宋_GB2312"/>
          <w:color w:val="000000"/>
          <w:kern w:val="0"/>
          <w:sz w:val="32"/>
          <w:szCs w:val="32"/>
          <w:lang w:val="en-US" w:eastAsia="zh-CN"/>
        </w:rPr>
        <w:t>，</w:t>
      </w:r>
      <w:r>
        <w:rPr>
          <w:rFonts w:hint="eastAsia" w:ascii="仿宋_GB2312" w:hAnsi="仿宋_GB2312" w:eastAsia="仿宋_GB2312" w:cs="仿宋_GB2312"/>
          <w:sz w:val="32"/>
          <w:szCs w:val="32"/>
          <w:lang w:val="en-US" w:eastAsia="zh-CN"/>
        </w:rPr>
        <w:t>构建适应市场需求、资源节约、环境友好的绿色建材产业体系</w:t>
      </w:r>
      <w:r>
        <w:rPr>
          <w:rFonts w:hint="eastAsia" w:ascii="仿宋_GB2312" w:hAnsi="仿宋_GB2312" w:eastAsia="仿宋_GB2312" w:cs="仿宋_GB2312"/>
          <w:color w:val="000000"/>
          <w:kern w:val="0"/>
          <w:sz w:val="32"/>
          <w:szCs w:val="32"/>
          <w:lang w:val="en-US" w:eastAsia="zh-CN"/>
        </w:rPr>
        <w:t>。积极拓展应用新领域，培育市场新需求。大力发展满足</w:t>
      </w:r>
      <w:r>
        <w:rPr>
          <w:rFonts w:hint="eastAsia" w:ascii="仿宋_GB2312" w:hAnsi="仿宋_GB2312" w:cs="仿宋_GB2312"/>
          <w:color w:val="000000"/>
          <w:kern w:val="0"/>
          <w:sz w:val="32"/>
          <w:szCs w:val="32"/>
          <w:lang w:val="en-US" w:eastAsia="zh-CN"/>
        </w:rPr>
        <w:t>被动式超低能耗</w:t>
      </w:r>
      <w:r>
        <w:rPr>
          <w:rFonts w:hint="eastAsia" w:ascii="仿宋_GB2312" w:hAnsi="仿宋_GB2312" w:eastAsia="仿宋_GB2312" w:cs="仿宋_GB2312"/>
          <w:color w:val="000000"/>
          <w:kern w:val="0"/>
          <w:sz w:val="32"/>
          <w:szCs w:val="32"/>
          <w:lang w:val="en-US" w:eastAsia="zh-CN"/>
        </w:rPr>
        <w:t>建筑、装配式建筑和战略性新兴产业所需的装配式建筑部品、新兴建材产品，增强建材供给结构对市场需求的适应性和灵活性，实现建材产品结构向多样化、高质量、高效益转变。</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5" w:name="_Toc10377"/>
      <w:r>
        <w:rPr>
          <w:rFonts w:hint="eastAsia" w:ascii="方正楷体简体" w:hAnsi="方正楷体简体" w:eastAsia="方正楷体简体" w:cs="方正楷体简体"/>
          <w:b/>
          <w:bCs w:val="0"/>
          <w:lang w:val="en-US" w:eastAsia="zh-CN"/>
        </w:rPr>
        <w:t>（二）提高绿色智能发展水平</w:t>
      </w:r>
      <w:bookmarkEnd w:id="15"/>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1.强化绿色生产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全面推动唐山市建材行业打造绿色矿山、绿色工厂、绿色园区、绿色产品，形成绿色供应体系。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按照矿区环境生态化、开采方式科学化、资源利用高效化、管理信息数字化、矿区社区和谐化的要求，限期推进水泥灰岩矿山全面建成绿色矿山。强化对超载、扬尘的监管，石灰石矿石全部实现碎石喷淋出场，运输车辆全部加装顶蓬。鼓励水泥、卫生陶瓷等企业建立专业物流配送网络，集中提供原燃料和产品运输服务。在水泥、玻璃、陶瓷等重点耗能行业，开展行业能效对标，推进主动进行技术改造，提高企业能效、环保水平。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全面推动余热余压利用、清洁能源和可再生能源替代。鼓励企业进一步提高矿渣、粉煤灰、煤矸石、脱硫石膏等大宗固体废弃物利用量，重点开发铁尾矿、钢渣等难利用工业固废综合利用技术，</w:t>
      </w:r>
      <w:r>
        <w:rPr>
          <w:rFonts w:hint="eastAsia" w:ascii="仿宋_GB2312" w:hAnsi="仿宋_GB2312" w:eastAsia="仿宋_GB2312" w:cs="仿宋_GB2312"/>
          <w:color w:val="auto"/>
          <w:kern w:val="0"/>
          <w:sz w:val="32"/>
          <w:szCs w:val="32"/>
          <w:lang w:val="en-US" w:eastAsia="zh-CN"/>
        </w:rPr>
        <w:t>鼓励推广尾矿、建筑废弃物（建筑垃圾）一体化回收处置和再利用生产</w:t>
      </w:r>
      <w:r>
        <w:rPr>
          <w:rFonts w:hint="eastAsia" w:ascii="仿宋_GB2312" w:hAnsi="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lang w:val="en-US" w:eastAsia="zh-CN"/>
        </w:rPr>
        <w:t>新型建材技术。</w:t>
      </w:r>
      <w:r>
        <w:rPr>
          <w:rFonts w:hint="eastAsia" w:ascii="仿宋_GB2312" w:hAnsi="仿宋_GB2312" w:eastAsia="仿宋_GB2312" w:cs="仿宋_GB2312"/>
          <w:color w:val="000000"/>
          <w:kern w:val="0"/>
          <w:sz w:val="32"/>
          <w:szCs w:val="32"/>
          <w:lang w:val="en-US" w:eastAsia="zh-CN"/>
        </w:rPr>
        <w:t>推进水泥窑协同处置技术应用，鼓励现有4000t/d以上熟料生产企业在不新增产能、不影响水泥产品质量和水泥窑稳定运行、保证固体废物的安全处置、满足污染物达标排放要求的前提下，开展电厂飞灰、危险废物、城市污泥、污染土壤、生活垃圾等固体废弃物协同处置。积极推行生态设计，推进智能制造，优化生产工艺流程，建设绿色工厂。</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在绿色建材发展基础好的地区，依托优势企业，全面整合要素资源，完善研发设计、检测验证、现代物流、电子商务等公共服务体系，建设绿色园区，实现厂房集约化、产业集聚化、生产洁净化、废物资源化、能源低碳化。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2.推广绿色消费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落实《促进绿色建材生产和应用行动方案》，以装配式建筑、</w:t>
      </w:r>
      <w:r>
        <w:rPr>
          <w:rFonts w:hint="eastAsia" w:ascii="仿宋_GB2312" w:hAnsi="仿宋_GB2312" w:cs="仿宋_GB2312"/>
          <w:color w:val="000000"/>
          <w:kern w:val="0"/>
          <w:sz w:val="32"/>
          <w:szCs w:val="32"/>
          <w:lang w:val="en-US" w:eastAsia="zh-CN"/>
        </w:rPr>
        <w:t>被动式超低能耗</w:t>
      </w:r>
      <w:r>
        <w:rPr>
          <w:rFonts w:hint="eastAsia" w:ascii="仿宋_GB2312" w:hAnsi="仿宋_GB2312" w:eastAsia="仿宋_GB2312" w:cs="仿宋_GB2312"/>
          <w:color w:val="000000"/>
          <w:kern w:val="0"/>
          <w:sz w:val="32"/>
          <w:szCs w:val="32"/>
          <w:lang w:val="en-US" w:eastAsia="zh-CN"/>
        </w:rPr>
        <w:t xml:space="preserve">建筑等试点示范工程为切入点，积极开展绿色建材评价标识管理和推广应用工作，指导建筑业和消费者选材。构建绿色建材选用机制，引导总承包单位、设计单位、施工单位优先采用绿色建材和装配式建筑部品，在装配式建筑推广和绿色建筑评价中强化对绿色建材应用的相关要求。在各类政府投资项目、试点示范工程中，明确绿色建材选用要求，不断提高选用比例。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3.推动智能制造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深化互联网、物联网、云计算、大数据等的应用，加快两化融合管理体系标准普及推广。重点推进水泥、玻璃、装配式建筑部品等建材企业信息技术的综合集成应用，加强与BIM（建筑信息模型）应用的技术对接，实现生产制造、经营管理等过程的信息共享和业务协同。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促进信息技术在节能降耗减排和循环经济等方面的广泛应用，加快在水泥、玻璃、陶瓷和烧结类墙体材料企业中推广企业能源管控中心建设。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6" w:name="_Toc14046"/>
      <w:r>
        <w:rPr>
          <w:rFonts w:hint="eastAsia" w:ascii="方正楷体简体" w:hAnsi="方正楷体简体" w:eastAsia="方正楷体简体" w:cs="方正楷体简体"/>
          <w:b/>
          <w:bCs w:val="0"/>
          <w:lang w:val="en-US" w:eastAsia="zh-CN"/>
        </w:rPr>
        <w:t>（三）推动产业创新发展</w:t>
      </w:r>
      <w:bookmarkEnd w:id="16"/>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1.技术产品创新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依托冀东水泥、北极熊、蓝欣玻璃、惠达陶瓷、国亮特耐、拓石建材、万兴化工、二十二冶、东方雨虹、建华实业等骨干企业现有企业技术中心和研发设计中心，强化华北理工大学无机非金属重点实验室研发力量，加强与国内相关领域顶尖高校、科研院所的合作，积极争取引进国内建材产业龙头企业和科研机构到唐山设立分支机构。坚持走产学研一体化发展道路，建设一批技术创新示范企业、企业技术中心、科技孵化器（众创空间），培育并打造创新引领型企业。围绕重大共性问题，重点在水泥基材料、玻璃深加工、耐火材料和装配式建筑部品等的设计制造技术领域开展重点领域技术联合技术攻关，攻克一批制约产品性能、质量、产业竞争力整体提升的关键共性技术，开发适应绿色发展和战略性新兴产业发展需要的新技术、新产品。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2.应用设计创新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建立以骨干企业技术中心、建材建筑设计院所、建筑装饰创意设计机构为主体的新型建筑建材创新中心（研究基地）。构建以大数据为支撑的建材创新体系，打造面向广大中小建材企业的协同创新公共服务平台、建材制造工程数据中心，规范服务标准，开展技术研发、检验检测、技术评价、技术交易、质量认证、人才培训等专业化服务，促进创新成果转化和推广应用。加强与建筑、房地产、建筑装饰等行业协同创新，针对绿色建筑和装配式建筑发展市场需求，研究推广以绿色、智能、协同为特征的建材应用先进设计技术。依托二十二冶、冀东房屋等装配式建筑龙头企业，开展构件通用化、模数化、标准化设计，延伸下游全产业链协同设计、钢结构深化设计、连接节点设计等，提高部品部件应用便利性。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3.标准体系创新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支持唐山市水泥协会、陶瓷协会联合唐山市龙头骨干企业和重点高校、科研设计院所、施工企业，研究编制适应本地建材行业发展的社团标准，积极参与国家行业标准的研究与制定，推进先进技术应用和地方行业标准升级。鼓励装配式建筑企业联合京津企业制定钢结构、装配式混凝土结构、木结构等预制装配式建筑部品部件团体标准，不断完善钢结构、预制混凝土结构和木结构建筑部品部件的品种和规格，提升部品部件标准化、模数化、通用化水平。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7" w:name="_Toc27971"/>
      <w:r>
        <w:rPr>
          <w:rFonts w:hint="eastAsia" w:ascii="方正楷体简体" w:hAnsi="方正楷体简体" w:eastAsia="方正楷体简体" w:cs="方正楷体简体"/>
          <w:b/>
          <w:bCs w:val="0"/>
          <w:lang w:val="en-US" w:eastAsia="zh-CN"/>
        </w:rPr>
        <w:t>（四）推进业态模式升级</w:t>
      </w:r>
      <w:bookmarkEnd w:id="17"/>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1.建材+互联网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依托成联电商等产业互联网企业，积极探索“建材+互联网”新模式、新业态，构建产业互联新体系。以耐火材料、卫生陶瓷、石材等为突破口，整合行业供货商、采购商、银行、电子仓、平台方等五方资源，搭建大宗原材料集中采购、物流配送、在线交易平台，逐步建成涵盖新型建材主要门类的专业化B2B电子商务平台和建材物联网系统，并全面向企业的生产、研发、采购、销售、管理等各环节渗透。通过整合、分析产业互联网上供需双方数据，形成可视化的数据产品，为行业企业、协会、政府、金融机构、科研单位提供更高效的生产经营、创新开发、行业管理、金融活动等服务。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依托蓝欣玻璃，打造加工玻璃和门窗制造的共享制造平台，向中小企业开放大企业优质装备的富余产能，降低大企业成本，提升效益，提高中小企业产品制造水平和制造能力。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通过市场竞争推动大中型制造基地的建设，淘汰落后、分散的小型加工能力，实现资源的优化、效率和效益的提升，产业向集约、规范、高端发展。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2.建材+商贸物流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充分发挥唐山市港口优势和背靠京津的市场优势，推动包括装配式部品部件产业在内的建材产业与港口物流融合发展。以玻璃深加工、木材等大宗材料为突破口，打造服务京津冀地区的临港建材集散分拨和物流加工基地，大力打造基于临港建材物流集散的大宗商品交易平台、集疏运网络、金融和信息支撑“三位一体”的建材商贸物流产业体系。加强对港口开通新航线的政策、资金支持，加快新航线培育，逐步开拓卫生陶瓷、钢结构构件等海运物流业务。充分利用铁路专用线路资源，对接京津两地建材产品供应，推行利用集装箱装载，提高建筑材料外运铁路运输比例。鼓励在装配式建筑产业聚集区内发展装配式产业配套产业集中采购基地，增加装配式建筑产业聚集区物流集散功能，围绕装配式建筑部品产业专业物流需求，鼓励发展第三方物流，提高运输效率，保障运输安全。支持物流企业与建材企业物流业务融合，合理制定物流计划，提高批次运输量，有效发挥海运、铁运优势，降低建材企业物流成本。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3.产业+服务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打造建材全产业链的全方位引导政策机制。建立从研发机构到设计单位、生产企业、施工单位以及后期运营维护全生命周期“产业+服务”服务型制造业发展模式。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鼓励装配式建筑部品、卫生陶瓷、建筑石材、防水材料、管道等重点领域延伸服务链条，加强与建筑设计、建筑施工等关联产业的互动，培育装配式建筑产业联盟，为客户提供从产品订购、深化设计、生产集成、装配安装和后期维护等一站式服务。探索发展共享服务模式，以装配式建筑部品为重点，整合研发设计资源，组建唐山市装配式建筑部品研发中心。按照</w:t>
      </w:r>
      <w:r>
        <w:rPr>
          <w:rFonts w:hint="eastAsia" w:ascii="仿宋_GB2312" w:hAnsi="仿宋_GB2312" w:cs="仿宋_GB2312"/>
          <w:color w:val="000000"/>
          <w:kern w:val="0"/>
          <w:sz w:val="32"/>
          <w:szCs w:val="32"/>
          <w:lang w:val="en-US" w:eastAsia="zh-CN"/>
        </w:rPr>
        <w:t>被动式超低能耗</w:t>
      </w:r>
      <w:r>
        <w:rPr>
          <w:rFonts w:hint="eastAsia" w:ascii="仿宋_GB2312" w:hAnsi="仿宋_GB2312" w:eastAsia="仿宋_GB2312" w:cs="仿宋_GB2312"/>
          <w:color w:val="000000"/>
          <w:kern w:val="0"/>
          <w:sz w:val="32"/>
          <w:szCs w:val="32"/>
          <w:lang w:val="en-US" w:eastAsia="zh-CN"/>
        </w:rPr>
        <w:t xml:space="preserve">建筑和装配式建筑的要求，运用BIM（建筑信息模型）等现代信息手段，开展各类建筑部品的研发设计，完善装配式建筑部品工艺，推进装配式建筑部品信息数字化工作，建设唐山市装配式建筑部品选材数据库。搭建应用推广服务平台，组建专业安装服务公司，形成专业化安装服务网络，建立共享服务体系。支持优势骨干企业采取战略加盟、品牌授权、技术许可等形式的商业模式创新，开展新技术推广、企业管理、品牌运营等服务。积极培育设计、工程咨询等生产性服务业，开展战略规划、园区规划、企业管理、营销策划、市场调查、投资评估、信用评估、信息安全等咨询服务。依托唐山中国陶瓷博览会、家具博览会、建材博览会等会展服务平台，拓展卫生陶瓷设计大赛、家装设计大赛等项目，提高唐山建材产业影响力。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整合现有第三方建材检测认证服务机构，吸引国内大型检测机构在唐山设立分支机构，完善检测项目，提高检测能力，加快形成满足京津冀建设发展要求的检验检测服务体系，打造唐山市检验检测认证集团，做大做强检测认证服务业务。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8" w:name="_Toc32534"/>
      <w:r>
        <w:rPr>
          <w:rFonts w:hint="eastAsia" w:ascii="方正楷体简体" w:hAnsi="方正楷体简体" w:eastAsia="方正楷体简体" w:cs="方正楷体简体"/>
          <w:b/>
          <w:bCs w:val="0"/>
          <w:lang w:val="en-US" w:eastAsia="zh-CN"/>
        </w:rPr>
        <w:t>（五）加强质量品牌建设</w:t>
      </w:r>
      <w:bookmarkEnd w:id="18"/>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1.加快提升产品质量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组织开展水泥制品、卫生陶瓷、墙体材料、保温防水材料、家居装饰建材等重点领域工艺优化活动，加强中小企业质量安全培训、质量诊断和辅导，推广先进实用的在线检测、信息编码等信息化、智能化检测设备，提高建材产品全生命周期质量管控能力，保障建筑工程质量安全。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2.强化产品质量监管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严格落实产品质量抽查监督和问责制度，建立健全建材质量信用信息收集、发布制度和企业产品质量与服务标准自我声明公开和监督制度；加强对防水材料、装饰装修材料等重点产品的监督检查，将质量违法违规记录作为企业诚信评级的重要内容，加大对质量违法和品牌侵权行为惩处力度。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3.加强企业品牌培育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以龙头骨干企业为重点，提振老品牌、培育新品牌，促进资源要素向优势企业汇聚。鼓励和支持陶瓷、防水、装饰建材、装配式建筑部品等领域骨干企业加强品牌培育，建立以质量和信誉为核心的企业品牌管理体系。选择基础好、起点高的优势品牌作为培养对象，培育形成一批国内、国际知名品牌。设立品牌培育基金，支持企业通过媒体加大对产区、产业和产品的宣传力度。对外强化龙头招商，积极承接非首都功能产业转移，引进国内装配式建筑、</w:t>
      </w:r>
      <w:r>
        <w:rPr>
          <w:rFonts w:hint="eastAsia" w:ascii="仿宋_GB2312" w:hAnsi="仿宋_GB2312" w:cs="仿宋_GB2312"/>
          <w:color w:val="000000"/>
          <w:kern w:val="0"/>
          <w:sz w:val="32"/>
          <w:szCs w:val="32"/>
          <w:lang w:val="en-US" w:eastAsia="zh-CN"/>
        </w:rPr>
        <w:t>被动式超低能耗建筑、</w:t>
      </w:r>
      <w:r>
        <w:rPr>
          <w:rFonts w:hint="eastAsia" w:ascii="仿宋_GB2312" w:hAnsi="仿宋_GB2312" w:eastAsia="仿宋_GB2312" w:cs="仿宋_GB2312"/>
          <w:color w:val="000000"/>
          <w:kern w:val="0"/>
          <w:sz w:val="32"/>
          <w:szCs w:val="32"/>
          <w:lang w:val="en-US" w:eastAsia="zh-CN"/>
        </w:rPr>
        <w:t xml:space="preserve">建筑卫生陶瓷及陶瓷耐材一线企业，为行业树立新标杆。支持卫生陶瓷骨干企业采取集体商标、证明商标注册等方式，培育“唐山陶瓷”原产地标识。加强唐山建材品牌文化建设和品牌宣传推广，定期围绕卫生陶瓷、绿色建材、装配式建筑部品等主题召开专业展会、行业高峰论坛、创意设计大赛、消费者体验评比等活动，树立唐山建材品牌在国内外的良好形象。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19" w:name="_Toc24327"/>
      <w:r>
        <w:rPr>
          <w:rFonts w:hint="eastAsia" w:ascii="方正楷体简体" w:hAnsi="方正楷体简体" w:eastAsia="方正楷体简体" w:cs="方正楷体简体"/>
          <w:b/>
          <w:bCs w:val="0"/>
          <w:lang w:val="en-US" w:eastAsia="zh-CN"/>
        </w:rPr>
        <w:t>（六）促进协同开放发展</w:t>
      </w:r>
      <w:bookmarkEnd w:id="19"/>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1.加强区域协同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以京津冀协同发展为契机，加强与京津两地大型建材企业集团、科研院所、高等院校的合作交流，鼓励联合创建新型建材技术研究中心、重点实验室和产业示范基地，加强装配式</w:t>
      </w:r>
      <w:r>
        <w:rPr>
          <w:rFonts w:hint="eastAsia" w:ascii="仿宋_GB2312" w:hAnsi="仿宋_GB2312" w:cs="仿宋_GB2312"/>
          <w:color w:val="000000"/>
          <w:kern w:val="0"/>
          <w:sz w:val="32"/>
          <w:szCs w:val="32"/>
          <w:lang w:val="en-US" w:eastAsia="zh-CN"/>
        </w:rPr>
        <w:t>超低能耗</w:t>
      </w:r>
      <w:r>
        <w:rPr>
          <w:rFonts w:hint="eastAsia" w:ascii="仿宋_GB2312" w:hAnsi="仿宋_GB2312" w:eastAsia="仿宋_GB2312" w:cs="仿宋_GB2312"/>
          <w:color w:val="000000"/>
          <w:kern w:val="0"/>
          <w:sz w:val="32"/>
          <w:szCs w:val="32"/>
          <w:lang w:val="en-US" w:eastAsia="zh-CN"/>
        </w:rPr>
        <w:t xml:space="preserve">建筑部品集成等方面共性和关键性技术的联合攻关，开发推广技术含量高、利废效果好、拥有自主知识产权的成套技术和装备。积极对接京津优质创新资源，开展“京津孵化、唐山产业化”协同合作，建设产业承接转化平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借助京津两地产业疏解的有利契机，发挥唐山资源、区位等优势，利用京津冀产业转移平台，以产业政策、规划为引领，以协同创新和标准对接为抓手，以绿色建材和装配式部品为重点，充分发挥互联网开放性、交互性、经济性的优势，实现信息动态发布、项目推介，持续开展承接京津产业转移招商行动，提高产业对接的针对性、有效性和成功率，重点加快推动北京玻璃深加工、钢结构制造等产业有序转移，推动产业转型升级。与京津两地及省内各地区联手共同建设产品供求质量信息平台，促进形成京津冀 协调统一、开放有序的绿色建材市场。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2.促进产业融合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加强与电力、煤炭、钢铁、有色、磷煤化工、农林等关联领域的协同合作，继续推进尾矿、粉煤灰、工业副产石膏、炉渣和矿渣等固体废弃物综合利用，开展综合利用尾矿、钢渣、建筑垃圾和农作物秸秆试点示范。加强与汽车及列车制造、装备制造、家具制造、装饰装修等产业协同发展，提高特种陶瓷、工业玻璃等产品的配套能力。加快与建筑房地产业、现代工业和信息产业等相关领域深度融合，协同创新，积极开展产品创新、设计创新、应用创新，适应建筑产业现代化发展要求。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3.扩大开放发展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贯彻落实重大战略部署，鼓励水泥、卫生陶瓷等有实力的骨干建材企业在有条件的国家和地区建设境外合作项目。抓住我国在“一带一路”沿线钢铁等领域国际产能合作，以及国家铁路、公路等重大基础设施大规模建设的机遇，加强与我国央企、钢企及建筑承包商等“走出去”的大型企业“抱团出海”的外销策略，以国内对外承包工程项目为重点，推进高端耐火材料等产品外贸出口；加强对海外贸易经销商的战略合作，打造装饰装修工程和家居建材超市，形成多渠道开拓海外市场局面。发挥唐山市港口物流优势，努力建设智能卫浴产业基地，借助北方瓷都与中外运集团的合作，积极谋划在欧洲和北美等地区建立海外仓。以进口木材、玻璃及深加工、建筑卫生陶瓷等家居装饰建材出口为突破口，全力推动港临港商贸物流集散基地建设。</w:t>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outlineLvl w:val="0"/>
        <w:rPr>
          <w:rFonts w:hint="eastAsia" w:ascii="黑体" w:hAnsi="黑体" w:eastAsia="黑体" w:cs="黑体"/>
          <w:b w:val="0"/>
          <w:bCs/>
          <w:lang w:val="en-US" w:eastAsia="zh-CN"/>
        </w:rPr>
      </w:pPr>
      <w:bookmarkStart w:id="20" w:name="_Toc8617"/>
      <w:r>
        <w:rPr>
          <w:rFonts w:hint="eastAsia" w:ascii="黑体" w:hAnsi="黑体" w:eastAsia="黑体" w:cs="黑体"/>
          <w:b w:val="0"/>
          <w:bCs/>
          <w:lang w:val="en-US" w:eastAsia="zh-CN"/>
        </w:rPr>
        <w:t>五、保障措施</w:t>
      </w:r>
      <w:bookmarkEnd w:id="20"/>
      <w:r>
        <w:rPr>
          <w:rFonts w:hint="eastAsia" w:ascii="黑体" w:hAnsi="黑体" w:eastAsia="黑体" w:cs="黑体"/>
          <w:b w:val="0"/>
          <w:bCs/>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1" w:name="_Toc2645"/>
      <w:r>
        <w:rPr>
          <w:rFonts w:hint="eastAsia" w:ascii="方正楷体简体" w:hAnsi="方正楷体简体" w:eastAsia="方正楷体简体" w:cs="方正楷体简体"/>
          <w:b/>
          <w:bCs w:val="0"/>
          <w:lang w:val="en-US" w:eastAsia="zh-CN"/>
        </w:rPr>
        <w:t>（一）健全规划组织实施</w:t>
      </w:r>
      <w:bookmarkEnd w:id="21"/>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1.加强组织领导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成立由市政府分管副市长任组长，市工信、发改、</w:t>
      </w:r>
      <w:r>
        <w:rPr>
          <w:rFonts w:hint="eastAsia" w:ascii="仿宋_GB2312" w:hAnsi="仿宋_GB2312" w:cs="仿宋_GB2312"/>
          <w:color w:val="000000"/>
          <w:kern w:val="0"/>
          <w:sz w:val="32"/>
          <w:szCs w:val="32"/>
          <w:lang w:val="en-US" w:eastAsia="zh-CN"/>
        </w:rPr>
        <w:t>资规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市场监管</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cs="仿宋_GB2312"/>
          <w:color w:val="000000"/>
          <w:kern w:val="0"/>
          <w:sz w:val="32"/>
          <w:szCs w:val="32"/>
          <w:lang w:val="en-US" w:eastAsia="zh-CN"/>
        </w:rPr>
        <w:t>生态环境</w:t>
      </w:r>
      <w:r>
        <w:rPr>
          <w:rFonts w:hint="eastAsia" w:ascii="仿宋_GB2312" w:hAnsi="仿宋_GB2312" w:eastAsia="仿宋_GB2312" w:cs="仿宋_GB2312"/>
          <w:color w:val="000000"/>
          <w:kern w:val="0"/>
          <w:sz w:val="32"/>
          <w:szCs w:val="32"/>
          <w:lang w:val="en-US" w:eastAsia="zh-CN"/>
        </w:rPr>
        <w:t>、安监、</w:t>
      </w:r>
      <w:r>
        <w:rPr>
          <w:rFonts w:hint="eastAsia" w:ascii="仿宋_GB2312" w:hAnsi="仿宋_GB2312" w:cs="仿宋_GB2312"/>
          <w:color w:val="000000"/>
          <w:kern w:val="0"/>
          <w:sz w:val="32"/>
          <w:szCs w:val="32"/>
          <w:lang w:val="en-US" w:eastAsia="zh-CN"/>
        </w:rPr>
        <w:t>住建、税务</w:t>
      </w:r>
      <w:r>
        <w:rPr>
          <w:rFonts w:hint="eastAsia" w:ascii="仿宋_GB2312" w:hAnsi="仿宋_GB2312" w:eastAsia="仿宋_GB2312" w:cs="仿宋_GB2312"/>
          <w:color w:val="000000"/>
          <w:kern w:val="0"/>
          <w:sz w:val="32"/>
          <w:szCs w:val="32"/>
          <w:lang w:val="en-US" w:eastAsia="zh-CN"/>
        </w:rPr>
        <w:t>、金融、科技、</w:t>
      </w:r>
      <w:r>
        <w:rPr>
          <w:rFonts w:hint="eastAsia" w:ascii="仿宋_GB2312" w:hAnsi="仿宋_GB2312" w:cs="仿宋_GB2312"/>
          <w:color w:val="000000"/>
          <w:kern w:val="0"/>
          <w:sz w:val="32"/>
          <w:szCs w:val="32"/>
          <w:lang w:val="en-US" w:eastAsia="zh-CN"/>
        </w:rPr>
        <w:t>商务</w:t>
      </w:r>
      <w:r>
        <w:rPr>
          <w:rFonts w:hint="eastAsia" w:ascii="仿宋_GB2312" w:hAnsi="仿宋_GB2312" w:eastAsia="仿宋_GB2312" w:cs="仿宋_GB2312"/>
          <w:color w:val="000000"/>
          <w:kern w:val="0"/>
          <w:sz w:val="32"/>
          <w:szCs w:val="32"/>
          <w:lang w:val="en-US" w:eastAsia="zh-CN"/>
        </w:rPr>
        <w:t xml:space="preserve">等单位为成员单位的唐山市建材产业转型升级领导小组，完善建材产业转型升级协调推进机制，加强对重大项目建设推进力度，及时协调解决项目建设存在的问题。各有关县（市）区成立相应的组织机构，落实到具体责任部门和单位。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2.争取外部支持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积极争取省工信厅、发改委、住</w:t>
      </w:r>
      <w:r>
        <w:rPr>
          <w:rFonts w:hint="eastAsia" w:ascii="仿宋_GB2312" w:hAnsi="仿宋_GB2312" w:cs="仿宋_GB2312"/>
          <w:color w:val="000000"/>
          <w:kern w:val="0"/>
          <w:sz w:val="32"/>
          <w:szCs w:val="32"/>
          <w:lang w:val="en-US" w:eastAsia="zh-CN"/>
        </w:rPr>
        <w:t>建</w:t>
      </w:r>
      <w:r>
        <w:rPr>
          <w:rFonts w:hint="eastAsia" w:ascii="仿宋_GB2312" w:hAnsi="仿宋_GB2312" w:eastAsia="仿宋_GB2312" w:cs="仿宋_GB2312"/>
          <w:color w:val="000000"/>
          <w:kern w:val="0"/>
          <w:sz w:val="32"/>
          <w:szCs w:val="32"/>
          <w:lang w:val="en-US" w:eastAsia="zh-CN"/>
        </w:rPr>
        <w:t>厅</w:t>
      </w:r>
      <w:r>
        <w:rPr>
          <w:rFonts w:hint="eastAsia" w:ascii="仿宋_GB2312" w:hAnsi="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lang w:val="en-US" w:eastAsia="zh-CN"/>
        </w:rPr>
        <w:t xml:space="preserve">对口支持，落实国家对唐山建设京津冀区域性中心城市给予针对性支持的相关政策，争取更大发展空间。建立政府、协会、企业联动机制，切实发挥行业协会、商会等社团组织的桥梁纽带作用，为唐山市建材行业发展提供指导和服务。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3.强化考核评估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建立唐山市建材行业转型升级规划任务落实情况督促检查和第三方评价机制，完善统计监测、绩效评估、动态调整和监督考核机制。把推进建材产业转型升级和装配式建筑部品发展纳入建设环渤海新型工业化基地考核范围，建立涵盖产业建设项目、运行质量、安全生产、创新发展等多维度的考核指标评价体系，进行年度绩效评价，引导更多优质要素、优势资源向先进企业聚集，力促产业跨越提升。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4.推进规划落实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由唐山市发改委牵头，组织对规划内容进行宣贯，将政府对建材产业转型升级的发展思路、发展方向、目标要求以及重点规划项目，向相关部门、企业和社会进行宣传，充分发挥规划在产业发展方向、招商引资中的作用。出台《唐山市新型绿色建材发展三年行动计划》，各县（市）区结合当地实际，研究制定本地区建材行业转型升级规划实施具体措施，确保各项任务落实到位。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2" w:name="_Toc30416"/>
      <w:r>
        <w:rPr>
          <w:rFonts w:hint="eastAsia" w:ascii="方正楷体简体" w:hAnsi="方正楷体简体" w:eastAsia="方正楷体简体" w:cs="方正楷体简体"/>
          <w:b/>
          <w:bCs w:val="0"/>
          <w:lang w:val="en-US" w:eastAsia="zh-CN"/>
        </w:rPr>
        <w:t>（二）强化政策扶持力度</w:t>
      </w:r>
      <w:bookmarkEnd w:id="22"/>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1.加大财政支持力度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综合运用河北省工业转型升级专项资金，支持重点建材企业技术改造和产业升级，落实企业新技术、新产品、新工艺等研发费用加计扣除、固定资产加速折旧，以及资源综合利用所得税优惠等政策，支持企业发展节能环保、高附加值的绿色建材产品。支持符合条件的装配式建筑</w:t>
      </w:r>
      <w:r>
        <w:rPr>
          <w:rFonts w:hint="eastAsia" w:ascii="仿宋_GB2312" w:hAnsi="仿宋_GB2312" w:cs="仿宋_GB2312"/>
          <w:color w:val="000000"/>
          <w:kern w:val="0"/>
          <w:sz w:val="32"/>
          <w:szCs w:val="32"/>
          <w:lang w:val="en-US" w:eastAsia="zh-CN"/>
        </w:rPr>
        <w:t>、被动式超低能耗建筑</w:t>
      </w:r>
      <w:r>
        <w:rPr>
          <w:rFonts w:hint="eastAsia" w:ascii="仿宋_GB2312" w:hAnsi="仿宋_GB2312" w:eastAsia="仿宋_GB2312" w:cs="仿宋_GB2312"/>
          <w:color w:val="000000"/>
          <w:kern w:val="0"/>
          <w:sz w:val="32"/>
          <w:szCs w:val="32"/>
          <w:lang w:val="en-US" w:eastAsia="zh-CN"/>
        </w:rPr>
        <w:t>企业享受战略性新兴产业、高新技术企业和创新性企业扶持政策。对取得突破性成果和连续多年增长的创新型企业给予重奖。</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2.完善金融扶持政策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支持优势骨干建材企业上市融资，具备条件的企业优先纳入上市后备企业进行重点培育。加强对企业兼并重组、品牌建设、研发中心建设、信息化建设和生产性服务项目的融资支持力度，积极发展融资租赁、商业保理、互联网金融等创新型金融产品，支持建材企业融资。鼓励银行类金融机构创新开展股权质押、知识产权质押、特许经营权质押等信贷产品，支持融资担保机构为符合条件的建材小微企业提供担保服务，支持天使投资、创业投资、风险投资、股权众筹等私募基金支持建材企业，推动大众创新创业。鼓励商业银行开展进出口信贷、出口信用保险保单融资等业务，加大对国际合作项目或国际承包工程采购使用唐山建材产品的出口信贷支持力度。完善出口信用保险财政扶持政策，通过保费补助和融资贴息等方式，鼓励企业投保出口信用保险，降低企业出口收汇风险。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3.加强建设用地保障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加大存量建设用地盘活力度，定期清理批而未征、征而未供、</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而未用的土地，清退产能严重过剩、市场前景不好、技术水平不高的“僵尸企业”，“腾笼换鸟”用于市场前景好、技术水平和产品质量高的新兴建材产业项目，优先保障装配式建筑产业基地、绿色建材示范基地和传统特色产业转型升级等重点园区、项目用地；鼓励推广多层标准厂房建设，提高土地单位面积产出效益。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4.完善基础设施保障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加快新型建材产业园区建设，积极协调电力、铁路、市政、电信等部门，组织开展园区电力、铁路货运场站、给排水、燃气管线、通信网络等专项规划编制工作，科学规划空间布局和开发时序，做好给水、排水、通电、通路、通讯、通气、平整土地“六通一平”工作，满足投资与项目入驻需求。进一步完善园区铁路运输、消防管网等基础设施配套，加强航线培育的政策支持、发展“公路转铁路”运输，为临港产业和物流产业发展提供良好的发展条件。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5.大力推广装配式建筑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稳步扩大装配式建筑的应用推广范围，</w:t>
      </w:r>
      <w:r>
        <w:rPr>
          <w:rFonts w:hint="eastAsia" w:ascii="仿宋_GB2312" w:hAnsi="仿宋_GB2312" w:cs="仿宋_GB2312"/>
          <w:color w:val="000000"/>
          <w:kern w:val="0"/>
          <w:sz w:val="32"/>
          <w:szCs w:val="32"/>
          <w:lang w:val="en-US" w:eastAsia="zh-CN"/>
        </w:rPr>
        <w:t>政府投资的棚户区改造、保障性住房等政策性住房建设项目和新立项的新建建筑应采用装配式建造</w:t>
      </w:r>
      <w:r>
        <w:rPr>
          <w:rFonts w:hint="eastAsia" w:ascii="仿宋_GB2312" w:hAnsi="仿宋_GB2312" w:eastAsia="仿宋_GB2312" w:cs="仿宋_GB2312"/>
          <w:color w:val="000000"/>
          <w:kern w:val="0"/>
          <w:sz w:val="32"/>
          <w:szCs w:val="32"/>
          <w:lang w:val="en-US" w:eastAsia="zh-CN"/>
        </w:rPr>
        <w:t>。逐步提高国有土地使用权的商品房开发项目和新建公共建筑中装配式建筑的比例。鼓励学校、医院、体育馆、商场、写字楼、过街天桥等新建公共建筑优先采用钢结构建筑。鼓励农村</w:t>
      </w:r>
      <w:r>
        <w:rPr>
          <w:rFonts w:hint="eastAsia" w:ascii="仿宋_GB2312" w:hAnsi="仿宋_GB2312" w:cs="仿宋_GB2312"/>
          <w:color w:val="000000"/>
          <w:kern w:val="0"/>
          <w:sz w:val="32"/>
          <w:szCs w:val="32"/>
          <w:lang w:val="en-US" w:eastAsia="zh-CN"/>
        </w:rPr>
        <w:t>改扩建</w:t>
      </w:r>
      <w:r>
        <w:rPr>
          <w:rFonts w:hint="eastAsia" w:ascii="仿宋_GB2312" w:hAnsi="仿宋_GB2312" w:eastAsia="仿宋_GB2312" w:cs="仿宋_GB2312"/>
          <w:color w:val="000000"/>
          <w:kern w:val="0"/>
          <w:sz w:val="32"/>
          <w:szCs w:val="32"/>
          <w:lang w:val="en-US" w:eastAsia="zh-CN"/>
        </w:rPr>
        <w:t>、特色小镇和美丽乡村等建设中</w:t>
      </w:r>
      <w:r>
        <w:rPr>
          <w:rFonts w:hint="eastAsia" w:ascii="仿宋_GB2312" w:hAnsi="仿宋_GB2312" w:cs="仿宋_GB2312"/>
          <w:color w:val="000000"/>
          <w:kern w:val="0"/>
          <w:sz w:val="32"/>
          <w:szCs w:val="32"/>
          <w:lang w:val="en-US" w:eastAsia="zh-CN"/>
        </w:rPr>
        <w:t>采用</w:t>
      </w:r>
      <w:r>
        <w:rPr>
          <w:rFonts w:hint="eastAsia" w:ascii="仿宋_GB2312" w:hAnsi="仿宋_GB2312" w:eastAsia="仿宋_GB2312" w:cs="仿宋_GB2312"/>
          <w:color w:val="000000"/>
          <w:kern w:val="0"/>
          <w:sz w:val="32"/>
          <w:szCs w:val="32"/>
          <w:lang w:val="en-US" w:eastAsia="zh-CN"/>
        </w:rPr>
        <w:t>钢结构和现代木结构。</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3" w:name="_Toc21841"/>
      <w:r>
        <w:rPr>
          <w:rFonts w:hint="eastAsia" w:ascii="方正楷体简体" w:hAnsi="方正楷体简体" w:eastAsia="方正楷体简体" w:cs="方正楷体简体"/>
          <w:b/>
          <w:bCs w:val="0"/>
          <w:lang w:val="en-US" w:eastAsia="zh-CN"/>
        </w:rPr>
        <w:t>（三）创新管理服务方式</w:t>
      </w:r>
      <w:bookmarkEnd w:id="23"/>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1.提高管理服务效能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加强唐山建材产业发展战略、规划、政策、标准等制定和实施，提高管理服务水平和效能。建立重点扶持企业和重点项目立项审批、资金支持、土地审批、环评等方面的“绿色通道”，保障项目建设顺利进行和生产要素供应；加强银企对接、产销对接和技术成果转化，满足企业发展融资需求，帮助企业开拓产品市场，引进转化先进技术成果。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2.优化要素资源配置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整合唐山市建材项目用地、矿产资源、供水供电等要素资源，按照项目集群化、用地集约化、产业差异化的原则优化配置要素资源，重点扶持技术先进、产品附加值和项目投入产出高的成长性建材企业，提高要素资源产出效率，培育唐山市建材规模化、差异化核心竞争力。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3.建设科技创新体系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采取政产学研用产业创新战略联盟等新机制新模式，以政府为主导，通过引进国内外研发设计、检测、认证等机构落户唐山，打造面向广大建材企业、创业团队和个人创新创业基地，规范服务标准，开展技术研发、检验检测、技术评价、技术交易、质量认证、人才培训等专业化服务，促进创新成果转化和推广应用。鼓励企业开展创新成果转化等科研活动，及企业科技创新的积极性和主动性。</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4.加强“三库”建设维护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组建唐山市建材产业专家库，聘请专业水平高、科研成果多的国内行业知名专家学者和优秀企业家，为政府科学决策和企业发展提供参谋咨询。建立建材产业项目库，密切跟踪和搜集国内外先进建材项目和社会投资机构，加强精准招商和产业项目精准扶持。健全建材产业信息库，包括政策文件、标准规范、产业导向、产业链分析、市场供求、产品推广等，为产业发展提供信息支撑。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4" w:name="_Toc18341"/>
      <w:r>
        <w:rPr>
          <w:rFonts w:hint="eastAsia" w:ascii="方正楷体简体" w:hAnsi="方正楷体简体" w:eastAsia="方正楷体简体" w:cs="方正楷体简体"/>
          <w:b/>
          <w:bCs w:val="0"/>
          <w:lang w:val="en-US" w:eastAsia="zh-CN"/>
        </w:rPr>
        <w:t>（四）优化企业营商环境</w:t>
      </w:r>
      <w:bookmarkEnd w:id="24"/>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1.规范产品市场秩序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综合运用政策法律、执法监管等措施，坚决打击侵权假冒、以次充好、误导消费、偷税漏税及低于成本价销售等不正当市场竞争行为，完善知识产权创造、运用、管理、保护机制，为企业营造良好的生产经营和研发创新环境。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2.健全行业退出机制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引导产能过剩行业采取兼并重组、战略加盟、转产升级等方式，有序推进落后、低效产能退出。妥善处理退出企业善后问题，坚持与去产能工作同谋划、同部署、同推进，完善职工安置工作协调机制，支持企业多渠道分流安置职工，加强对失业人员生活保障和再就业帮扶，加强对地方和企业推进职工安置工作的业务指导和督促检查，落实完善应急预案。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3.加强企业信用建设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健全建材行业企业信用数据库，完善企业信用动态评价和公开发布制度，企业产品与服务标准自我声明公开和监督制度，建立质量负面清单，严格监管检查和责任追究，将质量违法违规记录作为企业诚信评级的重要内容，加大对质量违法侵权行为的打击和惩处力度。加强与京津及其他兄弟地区企业诚信和产品质量信息的互通和结果互认，促进京津冀协同的企业诚信系统的建设和完善。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4.优化贸易投资环境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抢抓“一带一路”</w:t>
      </w:r>
      <w:r>
        <w:rPr>
          <w:rFonts w:hint="eastAsia" w:ascii="仿宋_GB2312" w:hAnsi="仿宋_GB2312" w:cs="仿宋_GB2312"/>
          <w:color w:val="000000"/>
          <w:kern w:val="0"/>
          <w:sz w:val="32"/>
          <w:szCs w:val="32"/>
          <w:lang w:val="en-US" w:eastAsia="zh-CN"/>
        </w:rPr>
        <w:t>倡议</w:t>
      </w:r>
      <w:r>
        <w:rPr>
          <w:rFonts w:hint="eastAsia" w:ascii="仿宋_GB2312" w:hAnsi="仿宋_GB2312" w:eastAsia="仿宋_GB2312" w:cs="仿宋_GB2312"/>
          <w:color w:val="000000"/>
          <w:kern w:val="0"/>
          <w:sz w:val="32"/>
          <w:szCs w:val="32"/>
          <w:lang w:val="en-US" w:eastAsia="zh-CN"/>
        </w:rPr>
        <w:t>规划实施的历史机遇，规范进出口贸易流程、提高物流效率，争取天津自贸区政策向唐山市延伸，将曹妃甸、海港、芦台和汉沽等地纳入自贸区范围，为出口外贸企业创造良好贸易环境。对“走出去”建材企业定期开展海外法律、税收、政策等方面的专家培训，提高企业风险防范意识和海外市场适应能力。支持企业积极应对反倾销、反补贴调查，以各种形式为企业提供经济贸易、国际法律方面的专家支持。以石材、木材进口的主要来源国伊朗、土耳其和北美地区为重点，不断扩大通航港口，增加班期，提高港口物流保障能力。定期组织建材产业链上下游企业对接会，建立完善高效的信息沟通机制，为企业项目对接、产销对接、资本对接提供平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1"/>
        <w:rPr>
          <w:rFonts w:hint="eastAsia" w:ascii="方正楷体简体" w:hAnsi="方正楷体简体" w:eastAsia="方正楷体简体" w:cs="方正楷体简体"/>
          <w:b/>
          <w:bCs w:val="0"/>
          <w:lang w:val="en-US" w:eastAsia="zh-CN"/>
        </w:rPr>
      </w:pPr>
      <w:bookmarkStart w:id="25" w:name="_Toc6672"/>
      <w:r>
        <w:rPr>
          <w:rFonts w:hint="eastAsia" w:ascii="方正楷体简体" w:hAnsi="方正楷体简体" w:eastAsia="方正楷体简体" w:cs="方正楷体简体"/>
          <w:b/>
          <w:bCs w:val="0"/>
          <w:lang w:val="en-US" w:eastAsia="zh-CN"/>
        </w:rPr>
        <w:t>（五）加快培育人才队伍</w:t>
      </w:r>
      <w:bookmarkEnd w:id="25"/>
      <w:r>
        <w:rPr>
          <w:rFonts w:hint="eastAsia" w:ascii="方正楷体简体" w:hAnsi="方正楷体简体" w:eastAsia="方正楷体简体" w:cs="方正楷体简体"/>
          <w:b/>
          <w:bCs w:val="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1.加强人才交流和高端人才引进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积极对接“巨人计划”、“科技英才”、“双百双千”等高层次人才培养计划，制定更加灵活优惠的人才政策，为建材高端人才引进提供优厚的激励措施和优越的发展环境。加强企业家培训，通过引进来、走出去的方式，组织企业家观摩学习先进经营理念和管理方法，提升企业家素质，激发企业自我发展动能。以陶瓷产业和装配式建筑为重点，聘请行业机构、科研院所对行业技术中的共性问题和关键难题进行攻关；积极引进带项目的专业技术人才、设计团队。开展唐山•中国陶瓷博览会人才技术交流大会等大型招才引智活动，吸引国内外高端智力到唐山开展项目合作、调研咨询和学术交流。 </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2" w:firstLineChars="200"/>
        <w:jc w:val="both"/>
        <w:textAlignment w:val="auto"/>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2.建立健全多层次人才培养体系 </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加强唐山本地</w:t>
      </w:r>
      <w:r>
        <w:rPr>
          <w:rFonts w:hint="eastAsia" w:ascii="仿宋_GB2312" w:hAnsi="仿宋_GB2312" w:cs="仿宋_GB2312"/>
          <w:color w:val="000000"/>
          <w:kern w:val="0"/>
          <w:sz w:val="32"/>
          <w:szCs w:val="32"/>
          <w:lang w:val="en-US" w:eastAsia="zh-CN"/>
        </w:rPr>
        <w:t>建材产业</w:t>
      </w:r>
      <w:r>
        <w:rPr>
          <w:rFonts w:hint="eastAsia" w:ascii="仿宋_GB2312" w:hAnsi="仿宋_GB2312" w:eastAsia="仿宋_GB2312" w:cs="仿宋_GB2312"/>
          <w:color w:val="000000"/>
          <w:kern w:val="0"/>
          <w:sz w:val="32"/>
          <w:szCs w:val="32"/>
          <w:lang w:val="en-US" w:eastAsia="zh-CN"/>
        </w:rPr>
        <w:t xml:space="preserve">人才的培育，完善从研发、转化、生产、管理到产品销售的分层分类的人才的培养体系。鼓励华北理工大学、唐山学院、唐山市建筑工程学校、唐山工业职业技术学院等本地高等院校、职业学校加强与国内重点高校的合作交流，共同开展陶瓷行业贸易人才、管理人才、电商人才、文化艺术人才、设计人才及技术人才的职业培训；推动本地院校与重点企业合作办学，定向培养实用型、技能型人才。依托二十二冶、冀东房屋等装配式建筑龙头企业，以工程实践、校企合作、学徒制培训等多种形式，开展专业技术技能培训、岗位操作培训，重点培养专业领域的设计、预制构件生产和现场施工安装技术人才。 </w:t>
      </w:r>
    </w:p>
    <w:sectPr>
      <w:footerReference r:id="rId4" w:type="default"/>
      <w:pgSz w:w="11906" w:h="16838"/>
      <w:pgMar w:top="2098" w:right="1474" w:bottom="1984"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eastAsia="仿宋_GB2312" w:cs="黑体"/>
        <w:kern w:val="2"/>
        <w:sz w:val="18"/>
        <w:szCs w:val="24"/>
        <w:lang w:val="en-US" w:eastAsia="zh-CN" w:bidi="ar-SA"/>
      </w:rPr>
      <w:pict>
        <v:shape id="文本框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553416C"/>
    <w:rsid w:val="309F1896"/>
    <w:rsid w:val="37061579"/>
    <w:rsid w:val="3B6A41EF"/>
    <w:rsid w:val="3EF8D666"/>
    <w:rsid w:val="5E2D1640"/>
    <w:rsid w:val="6DFF8A86"/>
    <w:rsid w:val="74AE4FE5"/>
    <w:rsid w:val="781D0B26"/>
    <w:rsid w:val="7FF7C1A0"/>
    <w:rsid w:val="FFF57B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黑体"/>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eastAsia="方正小标宋简体"/>
      <w:kern w:val="44"/>
      <w:sz w:val="32"/>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toc 8"/>
    <w:basedOn w:val="1"/>
    <w:next w:val="1"/>
    <w:qFormat/>
    <w:uiPriority w:val="0"/>
    <w:pPr>
      <w:ind w:left="2940" w:leftChars="1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customStyle="1" w:styleId="18">
    <w:name w:val="toa heading"/>
    <w:basedOn w:val="1"/>
    <w:next w:val="1"/>
    <w:qFormat/>
    <w:uiPriority w:val="0"/>
    <w:pPr>
      <w:spacing w:before="120" w:beforeAutospacing="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2020-05-22T09:09:00Z</dcterms:created>
  <dc:creator>user00007</dc:creator>
  <cp:lastModifiedBy>user</cp:lastModifiedBy>
  <cp:lastPrinted>2020-11-24T15:38:00Z</cp:lastPrinted>
  <dcterms:modified xsi:type="dcterms:W3CDTF">2025-01-17T10:08:47Z</dcterms:modified>
  <dc:title>user00007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